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200"/>
        <w:jc w:val="center"/>
      </w:pPr>
      <w:r>
        <w:rPr>
          <w:rFonts w:ascii="Arial" w:cs="Arial" w:eastAsia="Arial" w:hAnsi="Arial"/>
          <w:b/>
          <w:bCs/>
          <w:color w:val="000000"/>
          <w:sz w:val="52"/>
          <w:szCs w:val="52"/>
        </w:rPr>
        <w:t xml:space="preserve">OUTILS DE GESTION DU BACKLOG</w:t>
      </w:r>
    </w:p>
    <w:p>
      <w:pPr>
        <w:spacing w:after="200" w:before="0"/>
        <w:jc w:val="center"/>
      </w:pPr>
      <w:r>
        <w:rPr>
          <w:rFonts w:ascii="Arial" w:cs="Arial" w:eastAsia="Arial" w:hAnsi="Arial"/>
          <w:b/>
          <w:bCs/>
          <w:color w:val="000000"/>
          <w:sz w:val="52"/>
          <w:szCs w:val="52"/>
        </w:rPr>
        <w:t xml:space="preserve">PROJETS INFORMATIQUES</w:t>
      </w:r>
    </w:p>
    <w:p>
      <w:pPr>
        <w:pBdr>
          <w:bottom w:val="single" w:color="000000" w:sz="8" w:space="1"/>
        </w:pBdr>
        <w:spacing w:after="800" w:before="0"/>
        <w:jc w:val="center"/>
      </w:pPr>
      <w:r>
        <w:rPr>
          <w:rFonts w:ascii="Arial" w:cs="Arial" w:eastAsia="Arial" w:hAnsi="Arial"/>
          <w:color w:val="000000"/>
          <w:sz w:val="32"/>
          <w:szCs w:val="32"/>
        </w:rPr>
        <w:t xml:space="preserve">Comparatif et Guide de Configuration — Cycle en V</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Date de création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avril 2026</w:t>
            </w:r>
          </w:p>
        </w:tc>
      </w:tr>
      <w:t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Statut</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de référence</w:t>
            </w:r>
          </w:p>
        </w:tc>
      </w:tr>
      <w:t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Diffusion</w:t>
            </w:r>
          </w:p>
        </w:tc>
        <w:tc>
          <w:tcPr>
            <w:tcW w:type="dxa" w:w="3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DSI — PMO — Chefs de projet — Direction IT</w:t>
            </w:r>
          </w:p>
        </w:tc>
      </w:tr>
    </w:tbl>
    <w:p>
      <w:pPr>
        <w:spacing w:after="0" w:before="800"/>
        <w:jc w:val="center"/>
      </w:pPr>
      <w:r>
        <w:rPr>
          <w:rFonts w:ascii="Arial" w:cs="Arial" w:eastAsia="Arial" w:hAnsi="Arial"/>
          <w:i/>
          <w:iCs/>
          <w:color w:val="000000"/>
          <w:sz w:val="18"/>
          <w:szCs w:val="18"/>
        </w:rPr>
        <w:t xml:space="preserve">Usage interne — Document confidentiel</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Table des matières</w:t>
      </w:r>
    </w:p>
    <w:p>
      <w:pPr>
        <w:spacing w:after="60" w:before="60"/>
      </w:pPr>
      <w:r>
        <w:t xml:space="preserve"/>
      </w:r>
    </w:p>
    <w:p>
      <w:pPr>
        <w:spacing w:after="60" w:before="60"/>
      </w:pPr>
      <w:r>
        <w:rPr>
          <w:rFonts w:ascii="Arial" w:cs="Arial" w:eastAsia="Arial" w:hAnsi="Arial"/>
          <w:b w:val="false"/>
          <w:bCs w:val="false"/>
          <w:color w:val="000000"/>
          <w:sz w:val="20"/>
          <w:szCs w:val="20"/>
        </w:rPr>
        <w:t xml:space="preserve">1. Contexte et objectifs .............................................................. 3</w:t>
      </w:r>
    </w:p>
    <w:p>
      <w:pPr>
        <w:spacing w:after="60" w:before="60"/>
      </w:pPr>
      <w:r>
        <w:rPr>
          <w:rFonts w:ascii="Arial" w:cs="Arial" w:eastAsia="Arial" w:hAnsi="Arial"/>
          <w:b w:val="false"/>
          <w:bCs w:val="false"/>
          <w:color w:val="000000"/>
          <w:sz w:val="20"/>
          <w:szCs w:val="20"/>
        </w:rPr>
        <w:t xml:space="preserve">2. Panorama des outils disponibles .................................................. 3</w:t>
      </w:r>
    </w:p>
    <w:p>
      <w:pPr>
        <w:spacing w:after="60" w:before="60"/>
      </w:pPr>
      <w:r>
        <w:rPr>
          <w:rFonts w:ascii="Arial" w:cs="Arial" w:eastAsia="Arial" w:hAnsi="Arial"/>
          <w:b w:val="false"/>
          <w:bCs w:val="false"/>
          <w:color w:val="000000"/>
          <w:sz w:val="20"/>
          <w:szCs w:val="20"/>
        </w:rPr>
        <w:t xml:space="preserve">3. Tableau comparatif des fonctionnalités ........................................... 4</w:t>
      </w:r>
    </w:p>
    <w:p>
      <w:pPr>
        <w:spacing w:after="60" w:before="60"/>
      </w:pPr>
      <w:r>
        <w:rPr>
          <w:rFonts w:ascii="Arial" w:cs="Arial" w:eastAsia="Arial" w:hAnsi="Arial"/>
          <w:b w:val="false"/>
          <w:bCs w:val="false"/>
          <w:color w:val="000000"/>
          <w:sz w:val="20"/>
          <w:szCs w:val="20"/>
        </w:rPr>
        <w:t xml:space="preserve">4. Critères de choix d'un outil ..................................................... 5</w:t>
      </w:r>
    </w:p>
    <w:p>
      <w:pPr>
        <w:spacing w:after="60" w:before="60"/>
      </w:pPr>
      <w:r>
        <w:rPr>
          <w:rFonts w:ascii="Arial" w:cs="Arial" w:eastAsia="Arial" w:hAnsi="Arial"/>
          <w:b w:val="false"/>
          <w:bCs w:val="false"/>
          <w:color w:val="000000"/>
          <w:sz w:val="20"/>
          <w:szCs w:val="20"/>
        </w:rPr>
        <w:t xml:space="preserve">5. Guide de configuration — Redmine ................................................. 6</w:t>
      </w:r>
    </w:p>
    <w:p>
      <w:pPr>
        <w:spacing w:after="60" w:before="60"/>
      </w:pPr>
      <w:r>
        <w:rPr>
          <w:rFonts w:ascii="Arial" w:cs="Arial" w:eastAsia="Arial" w:hAnsi="Arial"/>
          <w:b w:val="false"/>
          <w:bCs w:val="false"/>
          <w:color w:val="000000"/>
          <w:sz w:val="20"/>
          <w:szCs w:val="20"/>
        </w:rPr>
        <w:t xml:space="preserve">6. Guide de configuration — Azure DevOps ............................................ 7</w:t>
      </w:r>
    </w:p>
    <w:p>
      <w:pPr>
        <w:spacing w:after="60" w:before="60"/>
      </w:pPr>
      <w:r>
        <w:rPr>
          <w:rFonts w:ascii="Arial" w:cs="Arial" w:eastAsia="Arial" w:hAnsi="Arial"/>
          <w:b w:val="false"/>
          <w:bCs w:val="false"/>
          <w:color w:val="000000"/>
          <w:sz w:val="20"/>
          <w:szCs w:val="20"/>
        </w:rPr>
        <w:t xml:space="preserve">7. Guide de configuration — OpenProject ............................................. 8</w:t>
      </w:r>
    </w:p>
    <w:p>
      <w:pPr>
        <w:spacing w:after="60" w:before="60"/>
      </w:pPr>
      <w:r>
        <w:rPr>
          <w:rFonts w:ascii="Arial" w:cs="Arial" w:eastAsia="Arial" w:hAnsi="Arial"/>
          <w:b w:val="false"/>
          <w:bCs w:val="false"/>
          <w:color w:val="000000"/>
          <w:sz w:val="20"/>
          <w:szCs w:val="20"/>
        </w:rPr>
        <w:t xml:space="preserve">8. Fiches synthèse des outils recommandés ........................................... 9</w:t>
      </w:r>
    </w:p>
    <w:p>
      <w:pPr>
        <w:spacing w:after="60" w:before="60"/>
      </w:pPr>
      <w:r>
        <w:rPr>
          <w:rFonts w:ascii="Arial" w:cs="Arial" w:eastAsia="Arial" w:hAnsi="Arial"/>
          <w:b w:val="false"/>
          <w:bCs w:val="false"/>
          <w:color w:val="000000"/>
          <w:sz w:val="20"/>
          <w:szCs w:val="20"/>
        </w:rPr>
        <w:t xml:space="preserve">9. Tableau de recommandation par scénario .......................................... 12</w:t>
      </w:r>
    </w:p>
    <w:p>
      <w:pPr>
        <w:spacing w:after="60" w:before="60"/>
      </w:pPr>
      <w:r>
        <w:rPr>
          <w:rFonts w:ascii="Arial" w:cs="Arial" w:eastAsia="Arial" w:hAnsi="Arial"/>
          <w:b w:val="false"/>
          <w:bCs w:val="false"/>
          <w:color w:val="000000"/>
          <w:sz w:val="20"/>
          <w:szCs w:val="20"/>
        </w:rPr>
        <w:t xml:space="preserve">10. Transition depuis les fichiers Excel/Word réseau ............................... 13</w:t>
      </w:r>
    </w:p>
    <w:p>
      <w:pPr>
        <w:spacing w:after="60" w:before="60"/>
      </w:pPr>
      <w:r>
        <w:rPr>
          <w:rFonts w:ascii="Arial" w:cs="Arial" w:eastAsia="Arial" w:hAnsi="Arial"/>
          <w:b w:val="false"/>
          <w:bCs w:val="false"/>
          <w:color w:val="000000"/>
          <w:sz w:val="20"/>
          <w:szCs w:val="20"/>
        </w:rPr>
        <w:t xml:space="preserve">11. Conclusion et préconisations ................................................... 14</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1. Contexte et objectifs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La gestion du backlog de projets informatiques conduits en Cycle en V nécessite un outil structuré, traçable et adapté aux contraintes de la méthode : phases séquentielles, validation formelle à chaque jalon, traçabilité des exigences jusqu'aux tests, et reporting à destination du COPIL.</w:t>
      </w:r>
    </w:p>
    <w:p>
      <w:pPr>
        <w:spacing w:after="60" w:before="60"/>
      </w:pPr>
      <w:r>
        <w:t xml:space="preserve"/>
      </w:r>
    </w:p>
    <w:p>
      <w:pPr>
        <w:spacing w:after="60" w:before="60"/>
      </w:pPr>
      <w:r>
        <w:rPr>
          <w:rFonts w:ascii="Arial" w:cs="Arial" w:eastAsia="Arial" w:hAnsi="Arial"/>
          <w:b w:val="false"/>
          <w:bCs w:val="false"/>
          <w:color w:val="000000"/>
          <w:sz w:val="20"/>
          <w:szCs w:val="20"/>
        </w:rPr>
        <w:t xml:space="preserve">L'approche actuelle, fondée sur des fichiers Excel et Word dispersés sur le réseau partagé, présente des limites significatives en termes de collaboration, de traçabilité et de consolidation multi-projets. Ce document a pour objectif de :</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Dresser un panorama des outils de gestion de backlog disponibles sur le marché</w:t>
      </w:r>
    </w:p>
    <w:p>
      <w:pPr>
        <w:pStyle w:val="ListParagraph"/>
        <w:numPr>
          <w:ilvl w:val="0"/>
          <w:numId w:val="2"/>
        </w:numPr>
        <w:spacing w:after="40" w:before="40"/>
      </w:pPr>
      <w:r>
        <w:rPr>
          <w:rFonts w:ascii="Arial" w:cs="Arial" w:eastAsia="Arial" w:hAnsi="Arial"/>
          <w:b w:val="false"/>
          <w:bCs w:val="false"/>
          <w:color w:val="000000"/>
          <w:sz w:val="20"/>
          <w:szCs w:val="20"/>
        </w:rPr>
        <w:t xml:space="preserve">Comparer leurs fonctionnalités au regard des besoins spécifiques du Cycle en V</w:t>
      </w:r>
    </w:p>
    <w:p>
      <w:pPr>
        <w:pStyle w:val="ListParagraph"/>
        <w:numPr>
          <w:ilvl w:val="0"/>
          <w:numId w:val="2"/>
        </w:numPr>
        <w:spacing w:after="40" w:before="40"/>
      </w:pPr>
      <w:r>
        <w:rPr>
          <w:rFonts w:ascii="Arial" w:cs="Arial" w:eastAsia="Arial" w:hAnsi="Arial"/>
          <w:b w:val="false"/>
          <w:bCs w:val="false"/>
          <w:color w:val="000000"/>
          <w:sz w:val="20"/>
          <w:szCs w:val="20"/>
        </w:rPr>
        <w:t xml:space="preserve">Fournir des guides de configuration pour les outils les plus adaptés au contexte</w:t>
      </w:r>
    </w:p>
    <w:p>
      <w:pPr>
        <w:pStyle w:val="ListParagraph"/>
        <w:numPr>
          <w:ilvl w:val="0"/>
          <w:numId w:val="2"/>
        </w:numPr>
        <w:spacing w:after="40" w:before="40"/>
      </w:pPr>
      <w:r>
        <w:rPr>
          <w:rFonts w:ascii="Arial" w:cs="Arial" w:eastAsia="Arial" w:hAnsi="Arial"/>
          <w:b w:val="false"/>
          <w:bCs w:val="false"/>
          <w:color w:val="000000"/>
          <w:sz w:val="20"/>
          <w:szCs w:val="20"/>
        </w:rPr>
        <w:t xml:space="preserve">Proposer une recommandation selon le profil et les contraintes de l'organisation</w:t>
      </w:r>
    </w:p>
    <w:p>
      <w:pPr>
        <w:pStyle w:val="ListParagraph"/>
        <w:numPr>
          <w:ilvl w:val="0"/>
          <w:numId w:val="2"/>
        </w:numPr>
        <w:spacing w:after="40" w:before="40"/>
      </w:pPr>
      <w:r>
        <w:rPr>
          <w:rFonts w:ascii="Arial" w:cs="Arial" w:eastAsia="Arial" w:hAnsi="Arial"/>
          <w:b w:val="false"/>
          <w:bCs w:val="false"/>
          <w:color w:val="000000"/>
          <w:sz w:val="20"/>
          <w:szCs w:val="20"/>
        </w:rPr>
        <w:t xml:space="preserve">Accompagner la transition depuis les fichiers bureautiques vers un outil dédié</w:t>
      </w:r>
    </w:p>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2. Panorama des outils disponibles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Les outils de gestion de backlog se répartissent en plusieurs catégories selon leur positionnement fonctionnel.</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2.1 Outils ALM (Application Lifecycle Management)</w:t>
      </w:r>
    </w:p>
    <w:p>
      <w:pPr>
        <w:spacing w:after="60" w:before="60"/>
      </w:pPr>
      <w:r>
        <w:rPr>
          <w:rFonts w:ascii="Arial" w:cs="Arial" w:eastAsia="Arial" w:hAnsi="Arial"/>
          <w:b w:val="false"/>
          <w:bCs w:val="false"/>
          <w:color w:val="000000"/>
          <w:sz w:val="20"/>
          <w:szCs w:val="20"/>
        </w:rPr>
        <w:t xml:space="preserve">Les outils ALM couvrent l'intégralité du cycle de vie applicatif, de l'expression des besoins jusqu'au déploiement. Ils sont particulièrement adaptés au Cycle en V car ils permettent de tracer les exigences, les conceptions, les développements et les tests dans un référentiel unique.</w:t>
      </w:r>
    </w:p>
    <w:p>
      <w:pPr>
        <w:pStyle w:val="ListParagraph"/>
        <w:numPr>
          <w:ilvl w:val="0"/>
          <w:numId w:val="2"/>
        </w:numPr>
        <w:spacing w:after="40" w:before="40"/>
      </w:pPr>
      <w:r>
        <w:rPr>
          <w:rFonts w:ascii="Arial" w:cs="Arial" w:eastAsia="Arial" w:hAnsi="Arial"/>
          <w:b w:val="false"/>
          <w:bCs w:val="false"/>
          <w:color w:val="000000"/>
          <w:sz w:val="20"/>
          <w:szCs w:val="20"/>
        </w:rPr>
        <w:t xml:space="preserve">Jira (Atlassian) — Leader du marché, très configurable, large écosystème</w:t>
      </w:r>
    </w:p>
    <w:p>
      <w:pPr>
        <w:pStyle w:val="ListParagraph"/>
        <w:numPr>
          <w:ilvl w:val="0"/>
          <w:numId w:val="2"/>
        </w:numPr>
        <w:spacing w:after="40" w:before="40"/>
      </w:pPr>
      <w:r>
        <w:rPr>
          <w:rFonts w:ascii="Arial" w:cs="Arial" w:eastAsia="Arial" w:hAnsi="Arial"/>
          <w:b w:val="false"/>
          <w:bCs w:val="false"/>
          <w:color w:val="000000"/>
          <w:sz w:val="20"/>
          <w:szCs w:val="20"/>
        </w:rPr>
        <w:t xml:space="preserve">Azure DevOps (Microsoft) — ALM complet intégré à l'écosystème Azure/M365</w:t>
      </w:r>
    </w:p>
    <w:p>
      <w:pPr>
        <w:pStyle w:val="ListParagraph"/>
        <w:numPr>
          <w:ilvl w:val="0"/>
          <w:numId w:val="2"/>
        </w:numPr>
        <w:spacing w:after="40" w:before="40"/>
      </w:pPr>
      <w:r>
        <w:rPr>
          <w:rFonts w:ascii="Arial" w:cs="Arial" w:eastAsia="Arial" w:hAnsi="Arial"/>
          <w:b w:val="false"/>
          <w:bCs w:val="false"/>
          <w:color w:val="000000"/>
          <w:sz w:val="20"/>
          <w:szCs w:val="20"/>
        </w:rPr>
        <w:t xml:space="preserve">Tuleap — ALM open source français, adapté aux grandes organisations et administrations</w:t>
      </w:r>
    </w:p>
    <w:p>
      <w:pPr>
        <w:pStyle w:val="ListParagraph"/>
        <w:numPr>
          <w:ilvl w:val="0"/>
          <w:numId w:val="2"/>
        </w:numPr>
        <w:spacing w:after="40" w:before="40"/>
      </w:pPr>
      <w:r>
        <w:rPr>
          <w:rFonts w:ascii="Arial" w:cs="Arial" w:eastAsia="Arial" w:hAnsi="Arial"/>
          <w:b w:val="false"/>
          <w:bCs w:val="false"/>
          <w:color w:val="000000"/>
          <w:sz w:val="20"/>
          <w:szCs w:val="20"/>
        </w:rPr>
        <w:t xml:space="preserve">OpenProject — ALM open source, fort sur la gestion de projet structurée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2.2 Outils de ticketing et suivi</w:t>
      </w:r>
    </w:p>
    <w:p>
      <w:pPr>
        <w:spacing w:after="60" w:before="60"/>
      </w:pPr>
      <w:r>
        <w:rPr>
          <w:rFonts w:ascii="Arial" w:cs="Arial" w:eastAsia="Arial" w:hAnsi="Arial"/>
          <w:b w:val="false"/>
          <w:bCs w:val="false"/>
          <w:color w:val="000000"/>
          <w:sz w:val="20"/>
          <w:szCs w:val="20"/>
        </w:rPr>
        <w:t xml:space="preserve">Ces outils sont centrés sur la gestion de tickets/issues et peuvent être configurés pour s'adapter au Cycle en V via des workflows et des champs personnalisés.</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 Référence open source, très flexible via plugins</w:t>
      </w:r>
    </w:p>
    <w:p>
      <w:pPr>
        <w:pStyle w:val="ListParagraph"/>
        <w:numPr>
          <w:ilvl w:val="0"/>
          <w:numId w:val="2"/>
        </w:numPr>
        <w:spacing w:after="40" w:before="40"/>
      </w:pPr>
      <w:r>
        <w:rPr>
          <w:rFonts w:ascii="Arial" w:cs="Arial" w:eastAsia="Arial" w:hAnsi="Arial"/>
          <w:b w:val="false"/>
          <w:bCs w:val="false"/>
          <w:color w:val="000000"/>
          <w:sz w:val="20"/>
          <w:szCs w:val="20"/>
        </w:rPr>
        <w:t xml:space="preserve">YouTrack (JetBrains) — Moderne, gratuit jusqu'à 10 utilisateurs</w:t>
      </w:r>
    </w:p>
    <w:p>
      <w:pPr>
        <w:pStyle w:val="ListParagraph"/>
        <w:numPr>
          <w:ilvl w:val="0"/>
          <w:numId w:val="2"/>
        </w:numPr>
        <w:spacing w:after="40" w:before="40"/>
      </w:pPr>
      <w:r>
        <w:rPr>
          <w:rFonts w:ascii="Arial" w:cs="Arial" w:eastAsia="Arial" w:hAnsi="Arial"/>
          <w:b w:val="false"/>
          <w:bCs w:val="false"/>
          <w:color w:val="000000"/>
          <w:sz w:val="20"/>
          <w:szCs w:val="20"/>
        </w:rPr>
        <w:t xml:space="preserve">Mantis BT — Simple et léger, adapté aux petites équipes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2.3 Outils DevOps intégrés</w:t>
      </w:r>
    </w:p>
    <w:p>
      <w:pPr>
        <w:spacing w:after="60" w:before="60"/>
      </w:pPr>
      <w:r>
        <w:rPr>
          <w:rFonts w:ascii="Arial" w:cs="Arial" w:eastAsia="Arial" w:hAnsi="Arial"/>
          <w:b w:val="false"/>
          <w:bCs w:val="false"/>
          <w:color w:val="000000"/>
          <w:sz w:val="20"/>
          <w:szCs w:val="20"/>
        </w:rPr>
        <w:t xml:space="preserve">Ces plateformes combinent gestion des issues, code source, CI/CD et déploiement dans un environnement unifié. Pertinents si les projets IT incluent du développement logiciel.</w:t>
      </w:r>
    </w:p>
    <w:p>
      <w:pPr>
        <w:pStyle w:val="ListParagraph"/>
        <w:numPr>
          <w:ilvl w:val="0"/>
          <w:numId w:val="2"/>
        </w:numPr>
        <w:spacing w:after="40" w:before="40"/>
      </w:pPr>
      <w:r>
        <w:rPr>
          <w:rFonts w:ascii="Arial" w:cs="Arial" w:eastAsia="Arial" w:hAnsi="Arial"/>
          <w:b w:val="false"/>
          <w:bCs w:val="false"/>
          <w:color w:val="000000"/>
          <w:sz w:val="20"/>
          <w:szCs w:val="20"/>
        </w:rPr>
        <w:t xml:space="preserve">GitLab — Issues, milestones, boards et CI/CD natifs</w:t>
      </w:r>
    </w:p>
    <w:p>
      <w:pPr>
        <w:pStyle w:val="ListParagraph"/>
        <w:numPr>
          <w:ilvl w:val="0"/>
          <w:numId w:val="2"/>
        </w:numPr>
        <w:spacing w:after="40" w:before="40"/>
      </w:pPr>
      <w:r>
        <w:rPr>
          <w:rFonts w:ascii="Arial" w:cs="Arial" w:eastAsia="Arial" w:hAnsi="Arial"/>
          <w:b w:val="false"/>
          <w:bCs w:val="false"/>
          <w:color w:val="000000"/>
          <w:sz w:val="20"/>
          <w:szCs w:val="20"/>
        </w:rPr>
        <w:t xml:space="preserve">GitHub Projects — Boards et issues intégrés au dépôt de code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2.4 Outils de planning et bureautique</w:t>
      </w:r>
    </w:p>
    <w:p>
      <w:pPr>
        <w:spacing w:after="60" w:before="60"/>
      </w:pPr>
      <w:r>
        <w:rPr>
          <w:rFonts w:ascii="Arial" w:cs="Arial" w:eastAsia="Arial" w:hAnsi="Arial"/>
          <w:b w:val="false"/>
          <w:bCs w:val="false"/>
          <w:color w:val="000000"/>
          <w:sz w:val="20"/>
          <w:szCs w:val="20"/>
        </w:rPr>
        <w:t xml:space="preserve">Ces outils ne sont pas des outils de backlog au sens strict, mais peuvent remplir ce rôle dans des contextes de faible maturité outillage.</w:t>
      </w:r>
    </w:p>
    <w:p>
      <w:pPr>
        <w:pStyle w:val="ListParagraph"/>
        <w:numPr>
          <w:ilvl w:val="0"/>
          <w:numId w:val="2"/>
        </w:numPr>
        <w:spacing w:after="40" w:before="40"/>
      </w:pPr>
      <w:r>
        <w:rPr>
          <w:rFonts w:ascii="Arial" w:cs="Arial" w:eastAsia="Arial" w:hAnsi="Arial"/>
          <w:b w:val="false"/>
          <w:bCs w:val="false"/>
          <w:color w:val="000000"/>
          <w:sz w:val="20"/>
          <w:szCs w:val="20"/>
        </w:rPr>
        <w:t xml:space="preserve">Microsoft Project + SharePoint — Planning Gantt riche, intégré M365</w:t>
      </w:r>
    </w:p>
    <w:p>
      <w:pPr>
        <w:pStyle w:val="ListParagraph"/>
        <w:numPr>
          <w:ilvl w:val="0"/>
          <w:numId w:val="2"/>
        </w:numPr>
        <w:spacing w:after="40" w:before="40"/>
      </w:pPr>
      <w:r>
        <w:rPr>
          <w:rFonts w:ascii="Arial" w:cs="Arial" w:eastAsia="Arial" w:hAnsi="Arial"/>
          <w:b w:val="false"/>
          <w:bCs w:val="false"/>
          <w:color w:val="000000"/>
          <w:sz w:val="20"/>
          <w:szCs w:val="20"/>
        </w:rPr>
        <w:t xml:space="preserve">Trello — Kanban visuel simple, limité pour le Cycle en V</w:t>
      </w:r>
    </w:p>
    <w:p>
      <w:pPr>
        <w:pStyle w:val="ListParagraph"/>
        <w:numPr>
          <w:ilvl w:val="0"/>
          <w:numId w:val="2"/>
        </w:numPr>
        <w:spacing w:after="40" w:before="40"/>
      </w:pPr>
      <w:r>
        <w:rPr>
          <w:rFonts w:ascii="Arial" w:cs="Arial" w:eastAsia="Arial" w:hAnsi="Arial"/>
          <w:b w:val="false"/>
          <w:bCs w:val="false"/>
          <w:color w:val="000000"/>
          <w:sz w:val="20"/>
          <w:szCs w:val="20"/>
        </w:rPr>
        <w:t xml:space="preserve">Excel / Word réseau — Solution actuelle, à faire évoluer</w:t>
      </w:r>
    </w:p>
    <w:p>
      <w:pPr>
        <w:spacing w:after="60" w:before="60"/>
      </w:pPr>
      <w:r>
        <w:t xml:space="preserve"/>
      </w:r>
    </w:p>
    <w:p>
      <w:pPr>
        <w:pBdr>
          <w:left w:val="single" w:color="000000" w:sz="6" w:space="6"/>
        </w:pBdr>
        <w:spacing w:after="80" w:before="80"/>
        <w:ind w:left="360"/>
      </w:pPr>
      <w:r>
        <w:rPr>
          <w:rFonts w:ascii="Arial" w:cs="Arial" w:eastAsia="Arial" w:hAnsi="Arial"/>
          <w:i/>
          <w:iCs/>
          <w:color w:val="000000"/>
          <w:sz w:val="19"/>
          <w:szCs w:val="19"/>
        </w:rPr>
        <w:t xml:space="preserve">Légende du tableau comparatif — ✓✓ : fonctionnalité native complète  |  ✓ : fonctionnalité présente (partielle ou via plugin)  |  ~ : fonctionnalité limitée ou à configurer  |  ✗ : absent ou non disponible</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3. Tableau comparatif des fonctionnalités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tableau suivant compare les principales fonctionnalités des outils au regard des besoins d'un projet conduit en Cycle en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40"/>
        <w:gridCol w:w="1040"/>
        <w:gridCol w:w="1040"/>
        <w:gridCol w:w="1040"/>
        <w:gridCol w:w="1040"/>
        <w:gridCol w:w="1040"/>
        <w:gridCol w:w="920"/>
      </w:tblGrid>
      <w:tr>
        <w:trPr>
          <w:tblHeader/>
        </w:trP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Fonctionnalité</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Redmine</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Jira</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Azure DevOps</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OpenProject</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GitLab</w:t>
            </w:r>
          </w:p>
        </w:tc>
        <w:tc>
          <w:tcPr>
            <w:tcW w:type="dxa" w:w="104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Tuleap</w:t>
            </w:r>
          </w:p>
        </w:tc>
        <w:tc>
          <w:tcPr>
            <w:tcW w:type="dxa" w:w="92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YouTrack</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Backlog natif</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Gestion des phases (Cycle V)</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Jalons et livrables</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Workflow personnalisable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Gestion des dépendances</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Tableau de bord / KPIs</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Gestion des documents</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Traçabilité des exigences</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Intégration Git/CI-CD</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Reporting COPIL</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API / Intégrations tierces</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Open source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 on-premise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4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92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w:t>
            </w:r>
          </w:p>
        </w:tc>
      </w:tr>
    </w:tbl>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4. Tableau comparatif des outils</w:t>
      </w:r>
    </w:p>
    <w:p>
      <w:pPr>
        <w:spacing w:after="60" w:before="60"/>
      </w:pPr>
      <w:r>
        <w:t xml:space="preserve"/>
      </w:r>
    </w:p>
    <w:p>
      <w:pPr>
        <w:spacing w:after="60" w:before="60"/>
      </w:pPr>
      <w:r>
        <w:rPr>
          <w:rFonts w:ascii="Arial" w:cs="Arial" w:eastAsia="Arial" w:hAnsi="Arial"/>
          <w:b w:val="false"/>
          <w:bCs w:val="false"/>
          <w:color w:val="000000"/>
          <w:sz w:val="20"/>
          <w:szCs w:val="20"/>
        </w:rPr>
        <w:t xml:space="preserve">Vue d'ensemble des outils avec leur positionnement, leur compatibilité Cycle en V et leur profil de destination.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300"/>
        <w:gridCol w:w="1700"/>
        <w:gridCol w:w="900"/>
        <w:gridCol w:w="1360"/>
        <w:gridCol w:w="1800"/>
      </w:tblGrid>
      <w:tr>
        <w:trPr>
          <w:tblHeader/>
        </w:trPr>
        <w:tc>
          <w:tcPr>
            <w:tcW w:type="dxa" w:w="1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Outil</w:t>
            </w:r>
          </w:p>
        </w:tc>
        <w:tc>
          <w:tcPr>
            <w:tcW w:type="dxa" w:w="11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Type</w:t>
            </w:r>
          </w:p>
        </w:tc>
        <w:tc>
          <w:tcPr>
            <w:tcW w:type="dxa" w:w="13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Adapté Cycle en V</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Gestion Backlog</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Gratuit</w:t>
            </w:r>
          </w:p>
        </w:tc>
        <w:tc>
          <w:tcPr>
            <w:tcW w:type="dxa" w:w="13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Hébergement</w:t>
            </w:r>
          </w:p>
        </w:tc>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Profil recommandé</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Redmine</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Ticketing / Suivi</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phases configurables</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tickets par version/sprint</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(open source)</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 / Cloud</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Equipes IT internes, DSI, PMO</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Jira (Atlassian)</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 / Agile &amp; V</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workflows personnalisables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backlog natif, filtres avancés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Non (payant)</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 On-premise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Grandes équipes, projets complexes</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GitLab Issues</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 / Ticketing</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milestones &amp; labels</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issues, epics, boards</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(community)</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 On-premise</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Equipes Dev/DevOps orientées Git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Azure DevOps</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 complet</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Work Items par phase</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backlog natif, boards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Partiel (5 users free)</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Azure / On-premise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Ecosystème Microsoft / Azure</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OpenProject</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Gestion de projet</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phases et jalons natifs</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Work Packages, roadmap</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(community)</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 / Cloud</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PMO, projets structurés, DSI</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Tuleap</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 open source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trackers configurables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trackers, plannings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(open source)</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Administrations, grands comptes IT</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YouTrack (JetBrains)</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Ticketing / ALM</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workflows personnalisés</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backlog, agile boards</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(10 users)</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 On-premise</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Equipes dev, PME/ETI</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Mantis BT</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Ticketing simple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catégories/versions</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pas de backlog natif</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(open source)</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Petites équipes, budget limité</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Taiga</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Agile (Scrum/Kanban)</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adapté agile</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user stories, sprints</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(open source)</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 On-premise</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Equipes agile, startups IT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Trello + Power-Ups</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Kanban visuel</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manuel</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cartes/listes</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(basique)</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Petites équipes, projets simples</w:t>
            </w:r>
          </w:p>
        </w:tc>
      </w:tr>
      <w:tr>
        <w:tc>
          <w:tcPr>
            <w:tcW w:type="dxa" w:w="1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MS Project + SharePoint</w:t>
            </w:r>
          </w:p>
        </w:tc>
        <w:tc>
          <w:tcPr>
            <w:tcW w:type="dxa" w:w="11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Planning / Suivi</w:t>
            </w:r>
          </w:p>
        </w:tc>
        <w:tc>
          <w:tcPr>
            <w:tcW w:type="dxa" w:w="13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phases Gantt natives</w:t>
            </w:r>
          </w:p>
        </w:tc>
        <w:tc>
          <w:tcPr>
            <w:tcW w:type="dxa" w:w="17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pas de backlog natif</w:t>
            </w:r>
          </w:p>
        </w:tc>
        <w:tc>
          <w:tcPr>
            <w:tcW w:type="dxa" w:w="9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Non (licence M365)</w:t>
            </w:r>
          </w:p>
        </w:tc>
        <w:tc>
          <w:tcPr>
            <w:tcW w:type="dxa" w:w="13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M365 / On-premise</w:t>
            </w:r>
          </w:p>
        </w:tc>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Environnements Microsoft, grands projets</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Excel / Word réseau</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Bureautique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Oui — si structuré manuellement</w:t>
            </w:r>
          </w:p>
        </w:tc>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Partiel — sans automatisation</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Oui (si M365)</w:t>
            </w:r>
          </w:p>
        </w:tc>
        <w:tc>
          <w:tcPr>
            <w:tcW w:type="dxa" w:w="1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Réseau partagé</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Toutes équipes, sans outil dédié</w:t>
            </w:r>
          </w:p>
        </w:tc>
      </w:tr>
    </w:tbl>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5. Critères de choix d'un outil</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choix d'un outil de gestion de backlog doit être guidé par une analyse des contraintes et besoins spécifiques de l'organisation. Le tableau ci-dessous structure les principaux critères de décision.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Critère</w:t>
            </w:r>
          </w:p>
        </w:tc>
        <w:tc>
          <w:tcPr>
            <w:tcW w:type="dxa" w:w="35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Questions à se poser</w:t>
            </w:r>
          </w:p>
        </w:tc>
        <w:tc>
          <w:tcPr>
            <w:tcW w:type="dxa" w:w="35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Impact sur le choix</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Taille de l'équipe</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Combien de personnes utilisent l'outil ? (&lt; 10, &lt; 50, &gt; 50)</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Outils gratuits souvent limités en utilisateurs. Jira/Azure DevOps scalent mieux.</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Budget disponible</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L'organisation peut-elle financer une licence SaaS ?</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 budget nul : Redmine, OpenProject, Tuleap, GitLab CE, YouTrack (10 users).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accepté ou hébergement on-premise obligatoire (données sensibles, RGPD) ?</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Données sensibles → privilégier on-premise : Redmine, OpenProject, Tuleap, Azure DevOps Server.</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Ecosystème existant</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L'organisation utilise déjà Azure, Git, Jira, M365 ?</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Prioriser l'intégration native : Azure DevOps si Azure, GitLab si Git, MS Project si M365.</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Maturité en gestion de projet</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Les équipes sont-elles habituées aux outils de ticketing ?</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Débutants → Trello ou Redmine. Equipes matures → Jira, Azure DevOps, OpenProject.</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Conformité cycle en V</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Faut-il tracer formellement chaque phase avec validation documentée ?</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Outils ALM complets requis : Jira (avec config), Azure DevOps, Tuleap, OpenProject.</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Reporting &amp; KPIs</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 COPIL a-t-il besoin de tableaux de bord automatiques ?</w:t>
            </w:r>
          </w:p>
        </w:tc>
        <w:tc>
          <w:tcPr>
            <w:tcW w:type="dxa" w:w="35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Jira (dashboards), Azure DevOps (Power BI natif), OpenProject (rapports), Redmine (plugins).</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Intégration CI/CD</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Les projets incluent-ils du déploiement automatisé ?</w:t>
            </w:r>
          </w:p>
        </w:tc>
        <w:tc>
          <w:tcPr>
            <w:tcW w:type="dxa" w:w="35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GitLab (pipeline natif), Azure DevOps (Azure Pipelines), Jira + Jenkins/GitHub Actions.</w:t>
            </w:r>
          </w:p>
        </w:tc>
      </w:tr>
    </w:tbl>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6. Guide de configuration — Redmine</w:t>
      </w:r>
    </w:p>
    <w:p>
      <w:pPr>
        <w:spacing w:after="60" w:before="60"/>
      </w:pPr>
      <w:r>
        <w:t xml:space="preserve"/>
      </w:r>
    </w:p>
    <w:p>
      <w:pPr>
        <w:spacing w:after="60" w:before="60"/>
      </w:pPr>
      <w:r>
        <w:rPr>
          <w:rFonts w:ascii="Arial" w:cs="Arial" w:eastAsia="Arial" w:hAnsi="Arial"/>
          <w:b w:val="false"/>
          <w:bCs w:val="false"/>
          <w:color w:val="000000"/>
          <w:sz w:val="20"/>
          <w:szCs w:val="20"/>
        </w:rPr>
        <w:t xml:space="preserve">Redmine est un outil de gestion de projets open source, déployable on-premise, particulièrement adapté aux DSI souhaitant un outil configurable sans coût de licence. Sa flexibilité permet de l'adapter au Cycle en V via des trackers, des versions et des champs personnalisés.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6.1 Configuration recommandée pour le Cycle en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Elément Redmine</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Configuration recommandée Cycle en V</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Résultat</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Trackers (types de tickets)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 Exigence, Tâche de conception, Tâche de développement, Anomalie, Cas de test, Livrable</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Chaque type de ticket correspond à une nature d'item backlog du Cycle en V</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Versions (Versions/Sprints)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une version par phase : V1-Expression Besoins, V2-Conception Générale, etc.</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Filtrer et suivre les items par phase Cycle en V</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Statuts personnalisés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Définir : Nouveau, En analyse, En cours, En recette, Terminé, Bloqué, Annulé</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Cycle de vie complet aligné sur le processus de gestion</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Champs personnalisés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Ajouter : Priorité (P1-P4), Effort estimé (j), Effort réalisé (j), Phase Cycle V, Dépendances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Enrichir la fiche ticket avec tous les champs du backlog</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Catégories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une catégorie par projet : PROJ-001, PROJ-002, PROJ-003, PROJ-004</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Filtrage et reporting par projet dans la vue consolidée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Jalons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Définir un jalon par livrable majeur de phase (ex : Dossier Architecture validé)</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Suivi des livrables formels du Cycle en V</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Requêtes sauvegardées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des filtres : Backlog PROJ-001, Items bloqués, Items P1 en cours, Vue COPIL</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Accès rapide aux vues utiles pour le reporting</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Diagramme de Gantt</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Utiliser le Gantt intégré sur les versions avec dates de début/fin</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Visualisation du planning par phase</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6.2 Plugins recommandés</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Agile — Ajout de boards Kanban et de vues backlog visuelles</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Checklists — Listes de contrôle sur chaque ticket (critères d'acceptation)</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Dashboard — Tableaux de bord personnalisables pour le reporting COPIL</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Glossary — Référentiel de termes partagé entre projets</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People — Gestion des ressources et des équipes projet</w:t>
      </w:r>
    </w:p>
    <w:p>
      <w:pPr>
        <w:pStyle w:val="ListParagraph"/>
        <w:numPr>
          <w:ilvl w:val="0"/>
          <w:numId w:val="2"/>
        </w:numPr>
        <w:spacing w:after="40" w:before="40"/>
      </w:pPr>
      <w:r>
        <w:rPr>
          <w:rFonts w:ascii="Arial" w:cs="Arial" w:eastAsia="Arial" w:hAnsi="Arial"/>
          <w:b w:val="false"/>
          <w:bCs w:val="false"/>
          <w:color w:val="000000"/>
          <w:sz w:val="20"/>
          <w:szCs w:val="20"/>
        </w:rPr>
        <w:t xml:space="preserve">Redmine Backlogs — Gestion de backlog avec points de story et sprints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6.3 Structure de projet recommandée</w:t>
      </w:r>
    </w:p>
    <w:p>
      <w:pPr>
        <w:pStyle w:val="ListParagraph"/>
        <w:numPr>
          <w:ilvl w:val="0"/>
          <w:numId w:val="2"/>
        </w:numPr>
        <w:spacing w:after="40" w:before="40"/>
      </w:pPr>
      <w:r>
        <w:rPr>
          <w:rFonts w:ascii="Arial" w:cs="Arial" w:eastAsia="Arial" w:hAnsi="Arial"/>
          <w:b w:val="false"/>
          <w:bCs w:val="false"/>
          <w:color w:val="000000"/>
          <w:sz w:val="20"/>
          <w:szCs w:val="20"/>
        </w:rPr>
        <w:t xml:space="preserve">Créer un projet parent : Portefeuille Projets IT</w:t>
      </w:r>
    </w:p>
    <w:p>
      <w:pPr>
        <w:pStyle w:val="ListParagraph"/>
        <w:numPr>
          <w:ilvl w:val="1"/>
          <w:numId w:val="2"/>
        </w:numPr>
        <w:spacing w:after="30" w:before="30"/>
      </w:pPr>
      <w:r>
        <w:rPr>
          <w:rFonts w:ascii="Arial" w:cs="Arial" w:eastAsia="Arial" w:hAnsi="Arial"/>
          <w:color w:val="000000"/>
          <w:sz w:val="19"/>
          <w:szCs w:val="19"/>
        </w:rPr>
        <w:t xml:space="preserve">Sous-projet : PROJ-001 — Refonte SI Gestion des Incidents</w:t>
      </w:r>
    </w:p>
    <w:p>
      <w:pPr>
        <w:pStyle w:val="ListParagraph"/>
        <w:numPr>
          <w:ilvl w:val="1"/>
          <w:numId w:val="2"/>
        </w:numPr>
        <w:spacing w:after="30" w:before="30"/>
      </w:pPr>
      <w:r>
        <w:rPr>
          <w:rFonts w:ascii="Arial" w:cs="Arial" w:eastAsia="Arial" w:hAnsi="Arial"/>
          <w:color w:val="000000"/>
          <w:sz w:val="19"/>
          <w:szCs w:val="19"/>
        </w:rPr>
        <w:t xml:space="preserve">Sous-projet : PROJ-002 — Migration Data Warehouse Cloud</w:t>
      </w:r>
    </w:p>
    <w:p>
      <w:pPr>
        <w:pStyle w:val="ListParagraph"/>
        <w:numPr>
          <w:ilvl w:val="1"/>
          <w:numId w:val="2"/>
        </w:numPr>
        <w:spacing w:after="30" w:before="30"/>
      </w:pPr>
      <w:r>
        <w:rPr>
          <w:rFonts w:ascii="Arial" w:cs="Arial" w:eastAsia="Arial" w:hAnsi="Arial"/>
          <w:color w:val="000000"/>
          <w:sz w:val="19"/>
          <w:szCs w:val="19"/>
        </w:rPr>
        <w:t xml:space="preserve">Sous-projet : PROJ-003 — Portail Self-Service Utilisateurs</w:t>
      </w:r>
    </w:p>
    <w:p>
      <w:pPr>
        <w:pStyle w:val="ListParagraph"/>
        <w:numPr>
          <w:ilvl w:val="1"/>
          <w:numId w:val="2"/>
        </w:numPr>
        <w:spacing w:after="30" w:before="30"/>
      </w:pPr>
      <w:r>
        <w:rPr>
          <w:rFonts w:ascii="Arial" w:cs="Arial" w:eastAsia="Arial" w:hAnsi="Arial"/>
          <w:color w:val="000000"/>
          <w:sz w:val="19"/>
          <w:szCs w:val="19"/>
        </w:rPr>
        <w:t xml:space="preserve">Sous-projet : PROJ-004 — Tableau de Bord BI / Reporting Exécutif</w:t>
      </w:r>
    </w:p>
    <w:p>
      <w:pPr>
        <w:pStyle w:val="ListParagraph"/>
        <w:numPr>
          <w:ilvl w:val="0"/>
          <w:numId w:val="2"/>
        </w:numPr>
        <w:spacing w:after="40" w:before="40"/>
      </w:pPr>
      <w:r>
        <w:rPr>
          <w:rFonts w:ascii="Arial" w:cs="Arial" w:eastAsia="Arial" w:hAnsi="Arial"/>
          <w:b w:val="false"/>
          <w:bCs w:val="false"/>
          <w:color w:val="000000"/>
          <w:sz w:val="20"/>
          <w:szCs w:val="20"/>
        </w:rPr>
        <w:t xml:space="preserve">Chaque sous-projet dispose de ses propres versions (phases Cycle en V) et de son backlog dédié</w:t>
      </w:r>
    </w:p>
    <w:p>
      <w:pPr>
        <w:pStyle w:val="ListParagraph"/>
        <w:numPr>
          <w:ilvl w:val="0"/>
          <w:numId w:val="2"/>
        </w:numPr>
        <w:spacing w:after="40" w:before="40"/>
      </w:pPr>
      <w:r>
        <w:rPr>
          <w:rFonts w:ascii="Arial" w:cs="Arial" w:eastAsia="Arial" w:hAnsi="Arial"/>
          <w:b w:val="false"/>
          <w:bCs w:val="false"/>
          <w:color w:val="000000"/>
          <w:sz w:val="20"/>
          <w:szCs w:val="20"/>
        </w:rPr>
        <w:t xml:space="preserve">La vue multi-projets de Redmine permet la consolidation au niveau du portefeuille</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7. Guide de configuration — Azure DevOps</w:t>
      </w:r>
    </w:p>
    <w:p>
      <w:pPr>
        <w:spacing w:after="60" w:before="60"/>
      </w:pPr>
      <w:r>
        <w:t xml:space="preserve"/>
      </w:r>
    </w:p>
    <w:p>
      <w:pPr>
        <w:spacing w:after="60" w:before="60"/>
      </w:pPr>
      <w:r>
        <w:rPr>
          <w:rFonts w:ascii="Arial" w:cs="Arial" w:eastAsia="Arial" w:hAnsi="Arial"/>
          <w:b w:val="false"/>
          <w:bCs w:val="false"/>
          <w:color w:val="000000"/>
          <w:sz w:val="20"/>
          <w:szCs w:val="20"/>
        </w:rPr>
        <w:t xml:space="preserve">Azure DevOps est la plateforme ALM de Microsoft, parfaitement intégrée à l'écosystème Azure, M365 et Visual Studio. Elle offre une gestion de backlog native, des boards configurables, un Gantt et une connexion directe à Power BI pour le reporting exécutif.</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7.1 Configuration recommandée pour le Cycle en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Elément Azure DevOps</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Configuration recommandée Cycle en V</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Résultat</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Work Item Types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Epic = Projet, Feature = Phase Cycle V, User Story/Task = Item backlog, Bug = Anomalie recette</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Hiérarchie native Epic &gt; Feature &gt; Story alignée sur le Cycle en V</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Iterations (Sprints)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une itération par phase : Phase 1 - Expression Besoins, Phase 2 - Conception Générale, etc.</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Chaque phase Cycle en V devient une itération planifiable</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Area Path</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 area par projet : PROJ-001, PROJ-002, PROJ-003, PROJ-004</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Isolation et reporting par projet dans le même tenant</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Boards (Kanban)</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Configurer les colonnes : A faire, Analyse, En cours, En test, Terminé, Bloqué</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Vue Kanban du backlog alignée sur le processus</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Requêtes (Queries)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 Backlog par projet, Items bloqués, Items P1, Vue COPIL par phase</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Reporting flexible et tableaux de bord personnalisés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Dashboards + Power BI</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Connecter Azure DevOps à Power BI pour les indicateurs COPIL (KPIs, burndown, vélocité)</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Reporting exécutif automatisé directement depuis l'outil</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Git + Pipelines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Lier les commits et PR aux Work Items pour traçabilité code/backlog</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Traçabilité complète exigence &gt; développement &gt; livraison</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7.2 Modèle de processus recommandé</w:t>
      </w:r>
    </w:p>
    <w:p>
      <w:pPr>
        <w:spacing w:after="60" w:before="60"/>
      </w:pPr>
      <w:r>
        <w:rPr>
          <w:rFonts w:ascii="Arial" w:cs="Arial" w:eastAsia="Arial" w:hAnsi="Arial"/>
          <w:b w:val="false"/>
          <w:bCs w:val="false"/>
          <w:color w:val="000000"/>
          <w:sz w:val="20"/>
          <w:szCs w:val="20"/>
        </w:rPr>
        <w:t xml:space="preserve">Utiliser le modèle de processus CMMI (Capability Maturity Model Integration) plutôt que Scrum ou Agile, car il est conçu pour les projets structurés avec exigences formelles, revues et approbations — ce qui correspond exactement au Cycle en V.</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Work Item Types CMMI : Requirement (exigence), Task (tâche), Bug (anomalie), Change Request (demande de changement), Review (revue)</w:t>
      </w:r>
    </w:p>
    <w:p>
      <w:pPr>
        <w:pStyle w:val="ListParagraph"/>
        <w:numPr>
          <w:ilvl w:val="0"/>
          <w:numId w:val="2"/>
        </w:numPr>
        <w:spacing w:after="40" w:before="40"/>
      </w:pPr>
      <w:r>
        <w:rPr>
          <w:rFonts w:ascii="Arial" w:cs="Arial" w:eastAsia="Arial" w:hAnsi="Arial"/>
          <w:b w:val="false"/>
          <w:bCs w:val="false"/>
          <w:color w:val="000000"/>
          <w:sz w:val="20"/>
          <w:szCs w:val="20"/>
        </w:rPr>
        <w:t xml:space="preserve">Le CMMI inclut nativement les champs : Priorité, Effort estimé, Effort réalisé, Raison de blocage</w:t>
      </w:r>
    </w:p>
    <w:p>
      <w:pPr>
        <w:pStyle w:val="ListParagraph"/>
        <w:numPr>
          <w:ilvl w:val="0"/>
          <w:numId w:val="2"/>
        </w:numPr>
        <w:spacing w:after="40" w:before="40"/>
      </w:pPr>
      <w:r>
        <w:rPr>
          <w:rFonts w:ascii="Arial" w:cs="Arial" w:eastAsia="Arial" w:hAnsi="Arial"/>
          <w:b w:val="false"/>
          <w:bCs w:val="false"/>
          <w:color w:val="000000"/>
          <w:sz w:val="20"/>
          <w:szCs w:val="20"/>
        </w:rPr>
        <w:t xml:space="preserve">Les états CMMI couvrent : Proposé, Actif, Résolu, Fermé — adaptables au cycle de vie du backlog</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8. Guide de configuration — OpenProject</w:t>
      </w:r>
    </w:p>
    <w:p>
      <w:pPr>
        <w:spacing w:after="60" w:before="60"/>
      </w:pPr>
      <w:r>
        <w:t xml:space="preserve"/>
      </w:r>
    </w:p>
    <w:p>
      <w:pPr>
        <w:spacing w:after="60" w:before="60"/>
      </w:pPr>
      <w:r>
        <w:rPr>
          <w:rFonts w:ascii="Arial" w:cs="Arial" w:eastAsia="Arial" w:hAnsi="Arial"/>
          <w:b w:val="false"/>
          <w:bCs w:val="false"/>
          <w:color w:val="000000"/>
          <w:sz w:val="20"/>
          <w:szCs w:val="20"/>
        </w:rPr>
        <w:t xml:space="preserve">OpenProject est un outil de gestion de projets open source complet, particulièrement adapté aux organisations souhaitant un outil structuré avec Gantt natif, gestion des dépendances et roadmap, sans coût de licence. Sa version Community est pleinement fonctionnelle pour le Cycle en V.</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8.1 Configuration recommandée pour le Cycle en 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Elément OpenProject</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Configuration recommandée Cycle en V</w:t>
            </w:r>
          </w:p>
        </w:tc>
        <w:tc>
          <w:tcPr>
            <w:tcW w:type="dxa" w:w="348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Résultat</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Work Packages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Types : Phase, Tâche, Anomalie, Livrable, Jalon — un type par nature d'item</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Typage précis des éléments du backlog Cycle en V</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une version par phase Cycle en V dans chaque projet</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Filtrage et suivi des items par phase</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Roadmap</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Planifier les versions (phases) sur la roadmap avec dates de début et fin</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Vision calendaire du Cycle en V de chaque projet</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Relations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Utiliser : bloque / est bloqué par, précède / suit, est lié à entre Work Packages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Gestion native des dépendances inter-items</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Projets imbriqués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Créer un projet parent Portefeuille IT &gt; 4 sous-projets PROJ-001 à 004</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Vue consolidée du backlog multi-projets native</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Gantt intégré</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Activer le module Gantt par projet pour visualiser les phases et jalons</w:t>
            </w:r>
          </w:p>
        </w:tc>
        <w:tc>
          <w:tcPr>
            <w:tcW w:type="dxa" w:w="348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Planning visuel du Cycle en V sans outil externe</w:t>
            </w:r>
          </w:p>
        </w:tc>
      </w:tr>
      <w:tr>
        <w:tc>
          <w:tcPr>
            <w:tcW w:type="dxa" w:w="24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Rapports &amp; Widgets</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Configurer les widgets de tableau de bord : avancement par phase, items bloqués, effort</w:t>
            </w:r>
          </w:p>
        </w:tc>
        <w:tc>
          <w:tcPr>
            <w:tcW w:type="dxa" w:w="348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Reporting COPIL directement dans l'outil</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8.2 Avantages spécifiques pour le Cycle en V</w:t>
      </w:r>
    </w:p>
    <w:p>
      <w:pPr>
        <w:pStyle w:val="ListParagraph"/>
        <w:numPr>
          <w:ilvl w:val="0"/>
          <w:numId w:val="2"/>
        </w:numPr>
        <w:spacing w:after="40" w:before="40"/>
      </w:pPr>
      <w:r>
        <w:rPr>
          <w:rFonts w:ascii="Arial" w:cs="Arial" w:eastAsia="Arial" w:hAnsi="Arial"/>
          <w:b w:val="false"/>
          <w:bCs w:val="false"/>
          <w:color w:val="000000"/>
          <w:sz w:val="20"/>
          <w:szCs w:val="20"/>
        </w:rPr>
        <w:t xml:space="preserve">Gestion native des jalons (Milestones) — idéale pour marquer les fins de phase</w:t>
      </w:r>
    </w:p>
    <w:p>
      <w:pPr>
        <w:pStyle w:val="ListParagraph"/>
        <w:numPr>
          <w:ilvl w:val="0"/>
          <w:numId w:val="2"/>
        </w:numPr>
        <w:spacing w:after="40" w:before="40"/>
      </w:pPr>
      <w:r>
        <w:rPr>
          <w:rFonts w:ascii="Arial" w:cs="Arial" w:eastAsia="Arial" w:hAnsi="Arial"/>
          <w:b w:val="false"/>
          <w:bCs w:val="false"/>
          <w:color w:val="000000"/>
          <w:sz w:val="20"/>
          <w:szCs w:val="20"/>
        </w:rPr>
        <w:t xml:space="preserve">Relations entre Work Packages (précède/suit) — modélisation des dépendances inter-items</w:t>
      </w:r>
    </w:p>
    <w:p>
      <w:pPr>
        <w:pStyle w:val="ListParagraph"/>
        <w:numPr>
          <w:ilvl w:val="0"/>
          <w:numId w:val="2"/>
        </w:numPr>
        <w:spacing w:after="40" w:before="40"/>
      </w:pPr>
      <w:r>
        <w:rPr>
          <w:rFonts w:ascii="Arial" w:cs="Arial" w:eastAsia="Arial" w:hAnsi="Arial"/>
          <w:b w:val="false"/>
          <w:bCs w:val="false"/>
          <w:color w:val="000000"/>
          <w:sz w:val="20"/>
          <w:szCs w:val="20"/>
        </w:rPr>
        <w:t xml:space="preserve">Module Time Tracking — suivi des efforts réels vs estimés directement sur chaque item</w:t>
      </w:r>
    </w:p>
    <w:p>
      <w:pPr>
        <w:pStyle w:val="ListParagraph"/>
        <w:numPr>
          <w:ilvl w:val="0"/>
          <w:numId w:val="2"/>
        </w:numPr>
        <w:spacing w:after="40" w:before="40"/>
      </w:pPr>
      <w:r>
        <w:rPr>
          <w:rFonts w:ascii="Arial" w:cs="Arial" w:eastAsia="Arial" w:hAnsi="Arial"/>
          <w:b w:val="false"/>
          <w:bCs w:val="false"/>
          <w:color w:val="000000"/>
          <w:sz w:val="20"/>
          <w:szCs w:val="20"/>
        </w:rPr>
        <w:t xml:space="preserve">Budgets et coûts — gestion financière du projet intégrée au backlog</w:t>
      </w:r>
    </w:p>
    <w:p>
      <w:pPr>
        <w:pStyle w:val="ListParagraph"/>
        <w:numPr>
          <w:ilvl w:val="0"/>
          <w:numId w:val="2"/>
        </w:numPr>
        <w:spacing w:after="40" w:before="40"/>
      </w:pPr>
      <w:r>
        <w:rPr>
          <w:rFonts w:ascii="Arial" w:cs="Arial" w:eastAsia="Arial" w:hAnsi="Arial"/>
          <w:b w:val="false"/>
          <w:bCs w:val="false"/>
          <w:color w:val="000000"/>
          <w:sz w:val="20"/>
          <w:szCs w:val="20"/>
        </w:rPr>
        <w:t xml:space="preserve">Forums de projet — espace de discussion par projet pour les échanges d'équipe</w:t>
      </w:r>
    </w:p>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9. Fiches synthèse des outils recommandés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9.1 Redmine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Site officiel</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https://www.redmine.org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Licence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GNU GPL v2 — Open source gratuit</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 (Linux/Windows) ou services cloud tiers (ex : Planio)</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 actuelle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6.x (vérifier la dernière version stable sur le site officiel)</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Langues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Français natif (parmi 50+ langues)</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forts</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Très configurable, communauté active, nombreux plugins, multi-projets natif, faible coût d'exploitation</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faibles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vieillissante, nécessite un admin technique pour l'installation, pas de reporting avancé natif</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Adapté pour</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DSI on-premise, budgets limités, équipes de 5 à 100 personnes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Installation</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Ruby on Rails, base de données MySQL/PostgreSQL, serveur Apache/Nginx</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https://www.redmine.org/guide</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9.2 Azure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Site officiel</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https://azure.microsoft.com/fr-fr/products/devops</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Licence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Gratuit jusqu'à 5 utilisateurs Basic, puis par utilisateur/mois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Cloud Azure (SaaS) ou Azure DevOps Server (on-premise)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Intégrations</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Power BI, GitHub, Visual Studio, Teams, MS Project, SCOM, ServiceNow</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Langues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en français disponible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forts</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 complet, Power BI natif, pipelines CI/CD, intégration M365, scalable, support Microsoft</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faibles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Coût par utilisateur, dépendance à l'écosystème Microsoft, complexité de configuration initiale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Adapté pour</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Organisations sous Microsoft 365/Azure, projets de développement logiciel complexes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Modèle recommandé</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CMMI (Capability Maturity Model Integration) pour le Cycle en V</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https://learn.microsoft.com/fr-fr/azure/devops</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9.3 OpenProject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Site officiel</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https://www.openproject.org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Licence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GNU GPL v3 — Community Edition gratuite, Enterprise payant</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 (Docker/DEB/RPM) ou Cloud OpenProject</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 actuelle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13.x (vérifier la dernière version stable sur le site officiel)</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Langues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Français natif</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forts</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Gantt natif, roadmap, gestion des dépendances, jalons, budgets, time tracking, projets imbriqués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faibles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moins intuitive que Jira, certaines fonctions avancées réservées à l'Enterprise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Adapté pour</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PMO, projets structurés Cycle en V, organisations sans budget, 10 à 500 personnes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Installation</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Docker recommandé, packagers Debian/Ubuntu, documentation complète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https://www.openproject.org/docs</w:t>
            </w:r>
          </w:p>
        </w:tc>
      </w:tr>
    </w:tbl>
    <w:p>
      <w:pPr>
        <w:spacing w:after="60" w:before="60"/>
      </w:pPr>
      <w:r>
        <w:t xml:space="preserve"/>
      </w:r>
    </w:p>
    <w:p>
      <w:pPr>
        <w:pStyle w:val="Heading2"/>
        <w:spacing w:after="100" w:before="240"/>
      </w:pPr>
      <w:r>
        <w:rPr>
          <w:rFonts w:ascii="Arial" w:cs="Arial" w:eastAsia="Arial" w:hAnsi="Arial"/>
          <w:b/>
          <w:bCs/>
          <w:color w:val="000000"/>
          <w:sz w:val="24"/>
          <w:szCs w:val="24"/>
        </w:rPr>
        <w:t xml:space="preserve">9.4 Tuleap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Site officiel</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https://www.tuleap.org</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Licence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GNU GPL v2 — Open source, édition Enterprise disponible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Hébergement</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On-premise (CentOS/Rocky Linux) ou Tuleap Cloud</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Origine</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Français (Enalean) — fortement utilisé dans les administrations et la défense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Langues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Français natif</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forts</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ALM complet, trackers très configurables, gestion documentaire, test management natif, adapté aux contraintes réglementaires</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Points faibles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Installation complexe, courbe d'apprentissage élevée, communauté plus restreinte</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Adapté pour</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Grandes organisations, administrations, secteurs réglementés (défense, santé, finance)</w:t>
            </w:r>
          </w:p>
        </w:tc>
      </w:tr>
      <w:tr>
        <w:tc>
          <w:tcPr>
            <w:tcW w:type="dxa" w:w="22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Modules clés</w:t>
            </w:r>
          </w:p>
        </w:tc>
        <w:tc>
          <w:tcPr>
            <w:tcW w:type="dxa" w:w="71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Trackers, Git, Documents, Agile Dashboard, Test Management, Baseline (gel de configuration)</w:t>
            </w:r>
          </w:p>
        </w:tc>
      </w:tr>
      <w:tr>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w:t>
            </w:r>
          </w:p>
        </w:tc>
        <w:tc>
          <w:tcPr>
            <w:tcW w:type="dxa" w:w="7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https://docs.tuleap.org</w:t>
            </w:r>
          </w:p>
        </w:tc>
      </w:tr>
    </w:tbl>
    <w:p>
      <w:pPr>
        <w:pageBreakBefore/>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10. Tableau de recommandation par scénario</w:t>
      </w:r>
    </w:p>
    <w:p>
      <w:pPr>
        <w:spacing w:after="60" w:before="60"/>
      </w:pPr>
      <w:r>
        <w:t xml:space="preserve"/>
      </w:r>
    </w:p>
    <w:p>
      <w:pPr>
        <w:spacing w:after="60" w:before="60"/>
      </w:pPr>
      <w:r>
        <w:rPr>
          <w:rFonts w:ascii="Arial" w:cs="Arial" w:eastAsia="Arial" w:hAnsi="Arial"/>
          <w:b w:val="false"/>
          <w:bCs w:val="false"/>
          <w:color w:val="000000"/>
          <w:sz w:val="20"/>
          <w:szCs w:val="20"/>
        </w:rPr>
        <w:t xml:space="preserve">Le tableau ci-dessous synthétise la recommandation d'outil en fonction du profil et des contraintes de l'organisation.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Scénario</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Outil recommandé</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Alternative</w:t>
            </w:r>
          </w:p>
        </w:tc>
        <w:tc>
          <w:tcPr>
            <w:tcW w:type="dxa" w:w="356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Justification</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Budget nul, on-premise, DSI</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Redmine</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OpenProject</w:t>
            </w:r>
          </w:p>
        </w:tc>
        <w:tc>
          <w:tcPr>
            <w:tcW w:type="dxa" w:w="35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Open source matures, configurables pour Cycle en V, communauté active, plugins riches</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Ecosystème Microsoft / Azure</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Azure DevOps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MS Project + SharePoint</w:t>
            </w:r>
          </w:p>
        </w:tc>
        <w:tc>
          <w:tcPr>
            <w:tcW w:type="dxa" w:w="3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Intégration native Azure, Power BI, Git, pipelines CI/CD, ALM complet</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Equipes DevOps orientées Git</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GitLab Issues</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GitHub Projects</w:t>
            </w:r>
          </w:p>
        </w:tc>
        <w:tc>
          <w:tcPr>
            <w:tcW w:type="dxa" w:w="35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Issues, milestones, boards et CI/CD dans un même outil, parfait si code hébergé sur GitLab</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Grande organisation, budget</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Jira (Atlassian)</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Azure DevOps</w:t>
            </w:r>
          </w:p>
        </w:tc>
        <w:tc>
          <w:tcPr>
            <w:tcW w:type="dxa" w:w="3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 standard de l'industrie, workflows très configurables, marketplace d'extensions très riche</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Administrations / Grands comptes</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Tuleap</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OpenProject</w:t>
            </w:r>
          </w:p>
        </w:tc>
        <w:tc>
          <w:tcPr>
            <w:tcW w:type="dxa" w:w="35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Français, open source, conçu pour l'ALM et la conformité, certifié pour données sensibles</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PME, budget limité, &lt; 10 users</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YouTrack</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Redmine</w:t>
            </w:r>
          </w:p>
        </w:tc>
        <w:tc>
          <w:tcPr>
            <w:tcW w:type="dxa" w:w="3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Gratuit jusqu'à 10 utilisateurs, interface moderne, backlog et boards natifs</w:t>
            </w:r>
          </w:p>
        </w:tc>
      </w:tr>
      <w:tr>
        <w:tc>
          <w:tcPr>
            <w:tcW w:type="dxa" w:w="18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Transition depuis fichiers Excel</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OpenProject ou Redmine</w:t>
            </w:r>
          </w:p>
        </w:tc>
        <w:tc>
          <w:tcPr>
            <w:tcW w:type="dxa" w:w="200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Redmine</w:t>
            </w:r>
          </w:p>
        </w:tc>
        <w:tc>
          <w:tcPr>
            <w:tcW w:type="dxa" w:w="3560"/>
            <w:tcBorders>
              <w:top w:val="single" w:color="000000" w:sz="1"/>
              <w:left w:val="single" w:color="000000" w:sz="1"/>
              <w:bottom w:val="single" w:color="000000" w:sz="1"/>
              <w:right w:val="single" w:color="000000"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Prise en main progressive, import CSV possible, interface proche de la gestion de projet classique</w:t>
            </w:r>
          </w:p>
        </w:tc>
      </w:tr>
    </w:tbl>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11. Transition depuis les fichiers Excel/Word réseau</w:t>
      </w:r>
    </w:p>
    <w:p>
      <w:pPr>
        <w:spacing w:after="60" w:before="60"/>
      </w:pPr>
      <w:r>
        <w:t xml:space="preserve"/>
      </w:r>
    </w:p>
    <w:p>
      <w:pPr>
        <w:spacing w:after="60" w:before="60"/>
      </w:pPr>
      <w:r>
        <w:rPr>
          <w:rFonts w:ascii="Arial" w:cs="Arial" w:eastAsia="Arial" w:hAnsi="Arial"/>
          <w:b w:val="false"/>
          <w:bCs w:val="false"/>
          <w:color w:val="000000"/>
          <w:sz w:val="20"/>
          <w:szCs w:val="20"/>
        </w:rPr>
        <w:t xml:space="preserve">La migration depuis des fichiers bureautiques vers un outil de gestion de backlog dédié est un projet en soi. Il convient d'en anticiper les étapes pour garantir la continuité du suivi des projets en cours.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11.1 Etapes de migration recommandées</w:t>
      </w:r>
    </w:p>
    <w:p>
      <w:pPr>
        <w:pStyle w:val="ListParagraph"/>
        <w:numPr>
          <w:ilvl w:val="0"/>
          <w:numId w:val="2"/>
        </w:numPr>
        <w:spacing w:after="40" w:before="40"/>
      </w:pPr>
      <w:r>
        <w:rPr>
          <w:rFonts w:ascii="Arial" w:cs="Arial" w:eastAsia="Arial" w:hAnsi="Arial"/>
          <w:b w:val="false"/>
          <w:bCs w:val="false"/>
          <w:color w:val="000000"/>
          <w:sz w:val="20"/>
          <w:szCs w:val="20"/>
        </w:rPr>
        <w:t xml:space="preserve">Etape 1 — Choix de l'outil : Appliquer le tableau de recommandation (section 10) au contexte de l'organisation. Organiser un POC (Proof of Concept) de 2 à 4 semaines avec une équipe pilote sur un projet actif.</w:t>
      </w:r>
    </w:p>
    <w:p>
      <w:pPr>
        <w:pStyle w:val="ListParagraph"/>
        <w:numPr>
          <w:ilvl w:val="0"/>
          <w:numId w:val="2"/>
        </w:numPr>
        <w:spacing w:after="40" w:before="40"/>
      </w:pPr>
      <w:r>
        <w:rPr>
          <w:rFonts w:ascii="Arial" w:cs="Arial" w:eastAsia="Arial" w:hAnsi="Arial"/>
          <w:b w:val="false"/>
          <w:bCs w:val="false"/>
          <w:color w:val="000000"/>
          <w:sz w:val="20"/>
          <w:szCs w:val="20"/>
        </w:rPr>
        <w:t xml:space="preserve">Etape 2 — Configuration initiale : Paramétrer les types de tickets, statuts, workflows et champs personnalisés selon les guides de configuration (sections 6, 7, 8). Créer la structure de projets et sous-projets.</w:t>
      </w:r>
    </w:p>
    <w:p>
      <w:pPr>
        <w:pStyle w:val="ListParagraph"/>
        <w:numPr>
          <w:ilvl w:val="0"/>
          <w:numId w:val="2"/>
        </w:numPr>
        <w:spacing w:after="40" w:before="40"/>
      </w:pPr>
      <w:r>
        <w:rPr>
          <w:rFonts w:ascii="Arial" w:cs="Arial" w:eastAsia="Arial" w:hAnsi="Arial"/>
          <w:b w:val="false"/>
          <w:bCs w:val="false"/>
          <w:color w:val="000000"/>
          <w:sz w:val="20"/>
          <w:szCs w:val="20"/>
        </w:rPr>
        <w:t xml:space="preserve">Etape 3 — Import des données existantes : Exporter les backlogs Excel au format CSV. Utiliser la fonctionnalité d'import CSV disponible dans Redmine, OpenProject, Jira et Azure DevOps. Vérifier la cohérence des données importées.</w:t>
      </w:r>
    </w:p>
    <w:p>
      <w:pPr>
        <w:pStyle w:val="ListParagraph"/>
        <w:numPr>
          <w:ilvl w:val="0"/>
          <w:numId w:val="2"/>
        </w:numPr>
        <w:spacing w:after="40" w:before="40"/>
      </w:pPr>
      <w:r>
        <w:rPr>
          <w:rFonts w:ascii="Arial" w:cs="Arial" w:eastAsia="Arial" w:hAnsi="Arial"/>
          <w:b w:val="false"/>
          <w:bCs w:val="false"/>
          <w:color w:val="000000"/>
          <w:sz w:val="20"/>
          <w:szCs w:val="20"/>
        </w:rPr>
        <w:t xml:space="preserve">Etape 4 — Formation des équipes : Former les chefs de projet (2h) et les membres d'équipe (1h) à l'utilisation de l'outil. Désigner un référent outil par projet pour accompagner la prise en main.</w:t>
      </w:r>
    </w:p>
    <w:p>
      <w:pPr>
        <w:pStyle w:val="ListParagraph"/>
        <w:numPr>
          <w:ilvl w:val="0"/>
          <w:numId w:val="2"/>
        </w:numPr>
        <w:spacing w:after="40" w:before="40"/>
      </w:pPr>
      <w:r>
        <w:rPr>
          <w:rFonts w:ascii="Arial" w:cs="Arial" w:eastAsia="Arial" w:hAnsi="Arial"/>
          <w:b w:val="false"/>
          <w:bCs w:val="false"/>
          <w:color w:val="000000"/>
          <w:sz w:val="20"/>
          <w:szCs w:val="20"/>
        </w:rPr>
        <w:t xml:space="preserve">Etape 5 — Période de double saisie : Maintenir les fichiers Excel en parallèle pendant 4 semaines maximum. Basculer progressivement les projets vers l'outil dédié. Définir une date de coupure claire.</w:t>
      </w:r>
    </w:p>
    <w:p>
      <w:pPr>
        <w:pStyle w:val="ListParagraph"/>
        <w:numPr>
          <w:ilvl w:val="0"/>
          <w:numId w:val="2"/>
        </w:numPr>
        <w:spacing w:after="40" w:before="40"/>
      </w:pPr>
      <w:r>
        <w:rPr>
          <w:rFonts w:ascii="Arial" w:cs="Arial" w:eastAsia="Arial" w:hAnsi="Arial"/>
          <w:b w:val="false"/>
          <w:bCs w:val="false"/>
          <w:color w:val="000000"/>
          <w:sz w:val="20"/>
          <w:szCs w:val="20"/>
        </w:rPr>
        <w:t xml:space="preserve">Etape 6 — Archivage des fichiers bureautiques : Archiver les fichiers Excel et Word dans un répertoire réseau en lecture seule. Conserver uniquement les documents formels (PV de recette, comptes-rendus) dans leur format Word d'origine.</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11.2 Points de vigilance</w:t>
      </w:r>
    </w:p>
    <w:p>
      <w:pPr>
        <w:pStyle w:val="ListParagraph"/>
        <w:numPr>
          <w:ilvl w:val="0"/>
          <w:numId w:val="2"/>
        </w:numPr>
        <w:spacing w:after="40" w:before="40"/>
      </w:pPr>
      <w:r>
        <w:rPr>
          <w:rFonts w:ascii="Arial" w:cs="Arial" w:eastAsia="Arial" w:hAnsi="Arial"/>
          <w:b w:val="false"/>
          <w:bCs w:val="false"/>
          <w:color w:val="000000"/>
          <w:sz w:val="20"/>
          <w:szCs w:val="20"/>
        </w:rPr>
        <w:t xml:space="preserve">Gouvernance de l'outil : Désigner un administrateur technique et un administrateur fonctionnel de l'outil dès le départ</w:t>
      </w:r>
    </w:p>
    <w:p>
      <w:pPr>
        <w:pStyle w:val="ListParagraph"/>
        <w:numPr>
          <w:ilvl w:val="0"/>
          <w:numId w:val="2"/>
        </w:numPr>
        <w:spacing w:after="40" w:before="40"/>
      </w:pPr>
      <w:r>
        <w:rPr>
          <w:rFonts w:ascii="Arial" w:cs="Arial" w:eastAsia="Arial" w:hAnsi="Arial"/>
          <w:b w:val="false"/>
          <w:bCs w:val="false"/>
          <w:color w:val="000000"/>
          <w:sz w:val="20"/>
          <w:szCs w:val="20"/>
        </w:rPr>
        <w:t xml:space="preserve">Convention de nommage : Maintenir les conventions ID (BL-XXX, PROJ-XXX) pour assurer la continuité de la traçabilité</w:t>
      </w:r>
    </w:p>
    <w:p>
      <w:pPr>
        <w:pStyle w:val="ListParagraph"/>
        <w:numPr>
          <w:ilvl w:val="0"/>
          <w:numId w:val="2"/>
        </w:numPr>
        <w:spacing w:after="40" w:before="40"/>
      </w:pPr>
      <w:r>
        <w:rPr>
          <w:rFonts w:ascii="Arial" w:cs="Arial" w:eastAsia="Arial" w:hAnsi="Arial"/>
          <w:b w:val="false"/>
          <w:bCs w:val="false"/>
          <w:color w:val="000000"/>
          <w:sz w:val="20"/>
          <w:szCs w:val="20"/>
        </w:rPr>
        <w:t xml:space="preserve">Droits d'accès : Configurer les profils d'accès (lecteur, contributeur, chef de projet, admin) dès la mise en place</w:t>
      </w:r>
    </w:p>
    <w:p>
      <w:pPr>
        <w:pStyle w:val="ListParagraph"/>
        <w:numPr>
          <w:ilvl w:val="0"/>
          <w:numId w:val="2"/>
        </w:numPr>
        <w:spacing w:after="40" w:before="40"/>
      </w:pPr>
      <w:r>
        <w:rPr>
          <w:rFonts w:ascii="Arial" w:cs="Arial" w:eastAsia="Arial" w:hAnsi="Arial"/>
          <w:b w:val="false"/>
          <w:bCs w:val="false"/>
          <w:color w:val="000000"/>
          <w:sz w:val="20"/>
          <w:szCs w:val="20"/>
        </w:rPr>
        <w:t xml:space="preserve">Sauvegarde : Mettre en place une politique de sauvegarde de la base de données de l'outil (quotidienne minimum)</w:t>
      </w:r>
    </w:p>
    <w:p>
      <w:pPr>
        <w:pStyle w:val="ListParagraph"/>
        <w:numPr>
          <w:ilvl w:val="0"/>
          <w:numId w:val="2"/>
        </w:numPr>
        <w:spacing w:after="40" w:before="40"/>
      </w:pPr>
      <w:r>
        <w:rPr>
          <w:rFonts w:ascii="Arial" w:cs="Arial" w:eastAsia="Arial" w:hAnsi="Arial"/>
          <w:b w:val="false"/>
          <w:bCs w:val="false"/>
          <w:color w:val="000000"/>
          <w:sz w:val="20"/>
          <w:szCs w:val="20"/>
        </w:rPr>
        <w:t xml:space="preserve">Intégration réseau : Prévoir l'accès depuis le réseau de l'organisation (VPN, reverse proxy, LDAP/AD pour l'authentification)</w:t>
      </w:r>
    </w:p>
    <w:p>
      <w:pPr>
        <w:spacing w:after="60" w:before="60"/>
      </w:pPr>
      <w:r>
        <w:t xml:space="preserve"/>
      </w:r>
    </w:p>
    <w:p>
      <w:pPr>
        <w:pStyle w:val="Heading1"/>
        <w:pBdr>
          <w:bottom w:val="single" w:color="000000" w:sz="4" w:space="1"/>
        </w:pBdr>
        <w:spacing w:after="120" w:before="300"/>
      </w:pPr>
      <w:r>
        <w:rPr>
          <w:rFonts w:ascii="Arial" w:cs="Arial" w:eastAsia="Arial" w:hAnsi="Arial"/>
          <w:b/>
          <w:bCs/>
          <w:color w:val="000000"/>
          <w:sz w:val="28"/>
          <w:szCs w:val="28"/>
        </w:rPr>
        <w:t xml:space="preserve">12. Conclusion et préconisations</w:t>
      </w:r>
    </w:p>
    <w:p>
      <w:pPr>
        <w:spacing w:after="60" w:before="60"/>
      </w:pPr>
      <w:r>
        <w:t xml:space="preserve"/>
      </w:r>
    </w:p>
    <w:p>
      <w:pPr>
        <w:spacing w:after="60" w:before="60"/>
      </w:pPr>
      <w:r>
        <w:rPr>
          <w:rFonts w:ascii="Arial" w:cs="Arial" w:eastAsia="Arial" w:hAnsi="Arial"/>
          <w:b w:val="false"/>
          <w:bCs w:val="false"/>
          <w:color w:val="000000"/>
          <w:sz w:val="20"/>
          <w:szCs w:val="20"/>
        </w:rPr>
        <w:t xml:space="preserve">La mise en place d'un outil de gestion de backlog dédié est un levier majeur pour structurer, fiabiliser et outiller la gestion des projets informatiques en Cycle en V. Le choix de l'outil doit être guidé par les contraintes de l'organisation (budget, hébergement, écosystème existant) et non par les seules fonctionnalités.</w:t>
      </w:r>
    </w:p>
    <w:p>
      <w:pPr>
        <w:spacing w:after="60" w:before="60"/>
      </w:pPr>
      <w:r>
        <w:t xml:space="preserve"/>
      </w:r>
    </w:p>
    <w:p>
      <w:pPr>
        <w:pStyle w:val="Heading2"/>
        <w:spacing w:after="100" w:before="240"/>
      </w:pPr>
      <w:r>
        <w:rPr>
          <w:rFonts w:ascii="Arial" w:cs="Arial" w:eastAsia="Arial" w:hAnsi="Arial"/>
          <w:b/>
          <w:bCs/>
          <w:color w:val="000000"/>
          <w:sz w:val="24"/>
          <w:szCs w:val="24"/>
        </w:rPr>
        <w:t xml:space="preserve">Préconisations générales</w:t>
      </w:r>
    </w:p>
    <w:p>
      <w:pPr>
        <w:pStyle w:val="ListParagraph"/>
        <w:numPr>
          <w:ilvl w:val="0"/>
          <w:numId w:val="2"/>
        </w:numPr>
        <w:spacing w:after="40" w:before="40"/>
      </w:pPr>
      <w:r>
        <w:rPr>
          <w:rFonts w:ascii="Arial" w:cs="Arial" w:eastAsia="Arial" w:hAnsi="Arial"/>
          <w:b w:val="false"/>
          <w:bCs w:val="false"/>
          <w:color w:val="000000"/>
          <w:sz w:val="20"/>
          <w:szCs w:val="20"/>
        </w:rPr>
        <w:t xml:space="preserve">Prioriser un outil open source on-premise si les données sont sensibles ou si les contraintes budgétaires sont fortes — Redmine et OpenProject sont les candidats naturels</w:t>
      </w:r>
    </w:p>
    <w:p>
      <w:pPr>
        <w:pStyle w:val="ListParagraph"/>
        <w:numPr>
          <w:ilvl w:val="0"/>
          <w:numId w:val="2"/>
        </w:numPr>
        <w:spacing w:after="40" w:before="40"/>
      </w:pPr>
      <w:r>
        <w:rPr>
          <w:rFonts w:ascii="Arial" w:cs="Arial" w:eastAsia="Arial" w:hAnsi="Arial"/>
          <w:b w:val="false"/>
          <w:bCs w:val="false"/>
          <w:color w:val="000000"/>
          <w:sz w:val="20"/>
          <w:szCs w:val="20"/>
        </w:rPr>
        <w:t xml:space="preserve">Opter pour Azure DevOps si l'organisation est déjà dans l'écosystème Microsoft et dispose d'un budget pour les licences — c'est l'option la plus intégrée et la plus scalable</w:t>
      </w:r>
    </w:p>
    <w:p>
      <w:pPr>
        <w:pStyle w:val="ListParagraph"/>
        <w:numPr>
          <w:ilvl w:val="0"/>
          <w:numId w:val="2"/>
        </w:numPr>
        <w:spacing w:after="40" w:before="40"/>
      </w:pPr>
      <w:r>
        <w:rPr>
          <w:rFonts w:ascii="Arial" w:cs="Arial" w:eastAsia="Arial" w:hAnsi="Arial"/>
          <w:b w:val="false"/>
          <w:bCs w:val="false"/>
          <w:color w:val="000000"/>
          <w:sz w:val="20"/>
          <w:szCs w:val="20"/>
        </w:rPr>
        <w:t xml:space="preserve">Ne pas sous-estimer l'effort de configuration initiale — un outil mal configuré sera rapidement abandonné au profit du retour aux fichiers Excel</w:t>
      </w:r>
    </w:p>
    <w:p>
      <w:pPr>
        <w:pStyle w:val="ListParagraph"/>
        <w:numPr>
          <w:ilvl w:val="0"/>
          <w:numId w:val="2"/>
        </w:numPr>
        <w:spacing w:after="40" w:before="40"/>
      </w:pPr>
      <w:r>
        <w:rPr>
          <w:rFonts w:ascii="Arial" w:cs="Arial" w:eastAsia="Arial" w:hAnsi="Arial"/>
          <w:b w:val="false"/>
          <w:bCs w:val="false"/>
          <w:color w:val="000000"/>
          <w:sz w:val="20"/>
          <w:szCs w:val="20"/>
        </w:rPr>
        <w:t xml:space="preserve">Impliquer les chefs de projet dès le choix de l'outil — leur adhésion est la condition de succès de l'adoption</w:t>
      </w:r>
    </w:p>
    <w:p>
      <w:pPr>
        <w:pStyle w:val="ListParagraph"/>
        <w:numPr>
          <w:ilvl w:val="0"/>
          <w:numId w:val="2"/>
        </w:numPr>
        <w:spacing w:after="40" w:before="40"/>
      </w:pPr>
      <w:r>
        <w:rPr>
          <w:rFonts w:ascii="Arial" w:cs="Arial" w:eastAsia="Arial" w:hAnsi="Arial"/>
          <w:b w:val="false"/>
          <w:bCs w:val="false"/>
          <w:color w:val="000000"/>
          <w:sz w:val="20"/>
          <w:szCs w:val="20"/>
        </w:rPr>
        <w:t xml:space="preserve">Planifier la formation et l'accompagnement au changement — prévoir 2 à 4 semaines de transition avec support dédié</w:t>
      </w:r>
    </w:p>
    <w:p>
      <w:pPr>
        <w:pStyle w:val="ListParagraph"/>
        <w:numPr>
          <w:ilvl w:val="0"/>
          <w:numId w:val="2"/>
        </w:numPr>
        <w:spacing w:after="40" w:before="40"/>
      </w:pPr>
      <w:r>
        <w:rPr>
          <w:rFonts w:ascii="Arial" w:cs="Arial" w:eastAsia="Arial" w:hAnsi="Arial"/>
          <w:b w:val="false"/>
          <w:bCs w:val="false"/>
          <w:color w:val="000000"/>
          <w:sz w:val="20"/>
          <w:szCs w:val="20"/>
        </w:rPr>
        <w:t xml:space="preserve">Définir et documenter les règles d'utilisation de l'outil (conventions de saisie, cadences de mise à jour, droits d'accès) avant le déploiement</w:t>
      </w:r>
    </w:p>
    <w:p>
      <w:pPr>
        <w:spacing w:after="60" w:before="60"/>
      </w:pPr>
      <w:r>
        <w:t xml:space="preserve"/>
      </w:r>
    </w:p>
    <w:p>
      <w:pPr>
        <w:spacing w:after="60" w:before="120"/>
      </w:pPr>
      <w:r>
        <w:rPr>
          <w:rFonts w:ascii="Arial" w:cs="Arial" w:eastAsia="Arial" w:hAnsi="Arial"/>
          <w:b w:val="false"/>
          <w:bCs w:val="false"/>
          <w:color w:val="000000"/>
          <w:sz w:val="20"/>
          <w:szCs w:val="20"/>
        </w:rPr>
        <w:t xml:space="preserve">Pour toute question relative à ce document ou au choix d'un outil, contacter le PMO ou le Responsable de la DSI.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8026"/>
      </w:tabs>
      <w:spacing w:before="80"/>
    </w:pPr>
    <w:r>
      <w:rPr>
        <w:rFonts w:ascii="Arial" w:cs="Arial" w:eastAsia="Arial" w:hAnsi="Arial"/>
        <w:color w:val="000000"/>
        <w:sz w:val="16"/>
        <w:szCs w:val="16"/>
      </w:rPr>
      <w:t xml:space="preserve">Document interne — Usage restreint</w:t>
    </w:r>
    <w:r>
      <w:rPr>
        <w:rFonts w:ascii="Arial" w:cs="Arial" w:eastAsia="Arial" w:hAnsi="Arial"/>
        <w:sz w:val="16"/>
        <w:szCs w:val="16"/>
      </w:rPr>
      <w:t xml:space="preserve">	</w:t>
    </w:r>
    <w:r>
      <w:rPr>
        <w:rFonts w:ascii="Arial" w:cs="Arial" w:eastAsia="Arial" w:hAnsi="Arial"/>
        <w:color w:val="000000"/>
        <w:sz w:val="16"/>
        <w:szCs w:val="16"/>
      </w:rPr>
      <w:t xml:space="preserve">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8026"/>
      </w:tabs>
      <w:spacing w:after="80"/>
    </w:pPr>
    <w:r>
      <w:rPr>
        <w:rFonts w:ascii="Arial" w:cs="Arial" w:eastAsia="Arial" w:hAnsi="Arial"/>
        <w:b/>
        <w:bCs/>
        <w:color w:val="000000"/>
        <w:sz w:val="18"/>
        <w:szCs w:val="18"/>
      </w:rPr>
      <w:t xml:space="preserve">OUTILS DE GESTION DU BACKLOG — PROJETS INFORMATIQUES CYCLE EN V</w:t>
    </w:r>
    <w:r>
      <w:rPr>
        <w:rFonts w:ascii="Arial" w:cs="Arial" w:eastAsia="Arial" w:hAnsi="Arial"/>
        <w:sz w:val="18"/>
        <w:szCs w:val="18"/>
      </w:rPr>
      <w:t xml:space="preserve">	</w:t>
    </w:r>
    <w:r>
      <w:rPr>
        <w:rFonts w:ascii="Arial" w:cs="Arial" w:eastAsia="Arial" w:hAnsi="Arial"/>
        <w:color w:val="000000"/>
        <w:sz w:val="18"/>
        <w:szCs w:val="18"/>
      </w:rPr>
      <w:t xml:space="preserve">v1.0 — 23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2026-04-23T11:28:02.931Z</dcterms:created>
  <dcterms:modified xsi:type="dcterms:W3CDTF">2026-04-23T11:28:02.931Z</dcterms:modified>
</cp:coreProperties>
</file>

<file path=docProps/custom.xml><?xml version="1.0" encoding="utf-8"?>
<Properties xmlns="http://schemas.openxmlformats.org/officeDocument/2006/custom-properties" xmlns:vt="http://schemas.openxmlformats.org/officeDocument/2006/docPropsVTypes"/>
</file>