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F4E79"/>
          <w:sz w:val="96"/>
          <w:szCs w:val="96"/>
        </w:rPr>
        <w:t xml:space="preserve">MAYA</w:t>
      </w:r>
    </w:p>
    <w:p>
      <w:pPr>
        <w:spacing w:after="80" w:before="0"/>
        <w:jc w:val="center"/>
      </w:pPr>
      <w:r>
        <w:rPr>
          <w:rFonts w:ascii="Arial" w:cs="Arial" w:eastAsia="Arial" w:hAnsi="Arial"/>
          <w:color w:val="2E75B6"/>
          <w:sz w:val="40"/>
          <w:szCs w:val="40"/>
        </w:rPr>
        <w:t xml:space="preserve">MАpping qualitY Analyzer</w:t>
      </w:r>
    </w:p>
    <w:p>
      <w:pPr>
        <w:spacing w:after="600" w:before="0"/>
        <w:jc w:val="center"/>
      </w:pPr>
      <w:r>
        <w:rPr>
          <w:rFonts w:ascii="Arial" w:cs="Arial" w:eastAsia="Arial" w:hAnsi="Arial"/>
          <w:i/>
          <w:iCs/>
          <w:color w:val="666666"/>
          <w:sz w:val="28"/>
          <w:szCs w:val="28"/>
        </w:rPr>
        <w:t xml:space="preserve">Documentation Utilisateur</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2.400_2026.03.17</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Interlocuteur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Thomas PARADON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Plateforme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Semarchy</w:t>
            </w:r>
          </w:p>
        </w:tc>
      </w:tr>
    </w:tbl>
    <w:p>
      <w:r>
        <w:br w:type="page"/>
      </w:r>
    </w:p>
    <w:p>
      <w:pPr>
        <w:pStyle w:val="Heading1"/>
        <w:pBdr>
          <w:bottom w:val="single" w:color="1F4E79" w:sz="6" w:space="4"/>
        </w:pBdr>
        <w:spacing w:after="120" w:before="360"/>
      </w:pPr>
      <w:r>
        <w:rPr>
          <w:rFonts w:ascii="Arial" w:cs="Arial" w:eastAsia="Arial" w:hAnsi="Arial"/>
          <w:b/>
          <w:bCs/>
          <w:color w:val="1F4E79"/>
          <w:sz w:val="32"/>
          <w:szCs w:val="32"/>
        </w:rPr>
        <w:t xml:space="preserve">1. Présentation de MAYA</w:t>
      </w:r>
    </w:p>
    <w:p>
      <w:pPr>
        <w:spacing w:after="80" w:before="80"/>
      </w:pPr>
      <w:r>
        <w:t xml:space="preserve"/>
      </w:r>
    </w:p>
    <w:p>
      <w:pPr>
        <w:spacing w:after="60" w:before="60"/>
      </w:pPr>
      <w:r>
        <w:rPr>
          <w:rFonts w:ascii="Arial" w:cs="Arial" w:eastAsia="Arial" w:hAnsi="Arial"/>
          <w:color w:val="333333"/>
          <w:sz w:val="22"/>
          <w:szCs w:val="22"/>
        </w:rPr>
        <w:t xml:space="preserve">MAYA (MАpping qualitY Analyzer) est un utilitaire d'aide à la revue de code de vos mappings. Il parcourt l'ensemble des mappings de votre projet et retourne la liste des éléments en écart par rapport aux recommandations formulées par le socle technique.</w:t>
      </w:r>
    </w:p>
    <w:p>
      <w:pPr>
        <w:spacing w:after="80" w:before="80"/>
      </w:pPr>
      <w:r>
        <w:t xml:space="preserve"/>
      </w:r>
    </w:p>
    <w:p>
      <w:pPr>
        <w:spacing w:after="60" w:before="60"/>
      </w:pPr>
      <w:r>
        <w:rPr>
          <w:rFonts w:ascii="Arial" w:cs="Arial" w:eastAsia="Arial" w:hAnsi="Arial"/>
          <w:sz w:val="22"/>
          <w:szCs w:val="22"/>
        </w:rPr>
        <w:t xml:space="preserve">L'outil est exécutable à la demande, directement dans Semarchy.</w:t>
      </w:r>
    </w:p>
    <w:p>
      <w:pPr>
        <w:spacing w:after="80" w:before="80"/>
      </w:pPr>
      <w:r>
        <w:t xml:space="preserve"/>
      </w:r>
    </w:p>
    <w:p>
      <w:pPr>
        <w:pStyle w:val="Heading1"/>
        <w:pBdr>
          <w:bottom w:val="single" w:color="1F4E79" w:sz="6" w:space="4"/>
        </w:pBdr>
        <w:spacing w:after="120" w:before="360"/>
      </w:pPr>
      <w:r>
        <w:rPr>
          <w:rFonts w:ascii="Arial" w:cs="Arial" w:eastAsia="Arial" w:hAnsi="Arial"/>
          <w:b/>
          <w:bCs/>
          <w:color w:val="1F4E79"/>
          <w:sz w:val="32"/>
          <w:szCs w:val="32"/>
        </w:rPr>
        <w:t xml:space="preserve">2. Éléments analysés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2.1 Contrôles sur les tables</w:t>
      </w:r>
    </w:p>
    <w:p>
      <w:pPr>
        <w:pStyle w:val="ListParagraph"/>
        <w:numPr>
          <w:ilvl w:val="0"/>
          <w:numId w:val="2"/>
        </w:numPr>
        <w:spacing w:after="40" w:before="40"/>
      </w:pPr>
      <w:r>
        <w:rPr>
          <w:rFonts w:ascii="Arial" w:cs="Arial" w:eastAsia="Arial" w:hAnsi="Arial"/>
          <w:b w:val="false"/>
          <w:bCs w:val="false"/>
          <w:sz w:val="22"/>
          <w:szCs w:val="22"/>
        </w:rPr>
        <w:t xml:space="preserve">Les tables déclarées dans un metadata qui n'appartient pas au même projet que les mappings utilisant ces tables</w:t>
      </w:r>
    </w:p>
    <w:p>
      <w:pPr>
        <w:pStyle w:val="ListParagraph"/>
        <w:numPr>
          <w:ilvl w:val="0"/>
          <w:numId w:val="2"/>
        </w:numPr>
        <w:spacing w:after="40" w:before="40"/>
      </w:pPr>
      <w:r>
        <w:rPr>
          <w:rFonts w:ascii="Arial" w:cs="Arial" w:eastAsia="Arial" w:hAnsi="Arial"/>
          <w:b w:val="false"/>
          <w:bCs w:val="false"/>
          <w:sz w:val="22"/>
          <w:szCs w:val="22"/>
        </w:rPr>
        <w:t xml:space="preserve">L'alimentation des zones « ORDER BY » et « SEGMENTED » des tables SIADODSWRK en CREATE</w:t>
      </w:r>
    </w:p>
    <w:p>
      <w:pPr>
        <w:pStyle w:val="ListParagraph"/>
        <w:numPr>
          <w:ilvl w:val="0"/>
          <w:numId w:val="2"/>
        </w:numPr>
        <w:spacing w:after="40" w:before="40"/>
      </w:pPr>
      <w:r>
        <w:rPr>
          <w:rFonts w:ascii="Arial" w:cs="Arial" w:eastAsia="Arial" w:hAnsi="Arial"/>
          <w:b w:val="false"/>
          <w:bCs w:val="false"/>
          <w:sz w:val="22"/>
          <w:szCs w:val="22"/>
        </w:rPr>
        <w:t xml:space="preserve">L'activation de la PK sur les tables SIADODSWRK en CREATE</w:t>
      </w:r>
    </w:p>
    <w:p>
      <w:pPr>
        <w:pStyle w:val="ListParagraph"/>
        <w:numPr>
          <w:ilvl w:val="0"/>
          <w:numId w:val="2"/>
        </w:numPr>
        <w:spacing w:after="40" w:before="40"/>
      </w:pPr>
      <w:r>
        <w:rPr>
          <w:rFonts w:ascii="Arial" w:cs="Arial" w:eastAsia="Arial" w:hAnsi="Arial"/>
          <w:b w:val="false"/>
          <w:bCs w:val="false"/>
          <w:sz w:val="22"/>
          <w:szCs w:val="22"/>
        </w:rPr>
        <w:t xml:space="preserve">L'application de l'option CREATE ou DROP AND CREATE uniquement sur des tables SIADODSWRK</w:t>
      </w:r>
    </w:p>
    <w:p>
      <w:pPr>
        <w:pStyle w:val="ListParagraph"/>
        <w:numPr>
          <w:ilvl w:val="0"/>
          <w:numId w:val="2"/>
        </w:numPr>
        <w:spacing w:after="40" w:before="40"/>
      </w:pPr>
      <w:r>
        <w:rPr>
          <w:rFonts w:ascii="Arial" w:cs="Arial" w:eastAsia="Arial" w:hAnsi="Arial"/>
          <w:b w:val="false"/>
          <w:bCs w:val="false"/>
          <w:sz w:val="22"/>
          <w:szCs w:val="22"/>
        </w:rPr>
        <w:t xml:space="preserve">Les options d'intégration des tables : CleanTemporaryObjects, DoInsert, DoUpdate, Truncate</w:t>
      </w:r>
    </w:p>
    <w:p>
      <w:pPr>
        <w:pStyle w:val="ListParagraph"/>
        <w:numPr>
          <w:ilvl w:val="0"/>
          <w:numId w:val="2"/>
        </w:numPr>
        <w:spacing w:after="40" w:before="40"/>
      </w:pPr>
      <w:r>
        <w:rPr>
          <w:rFonts w:ascii="Arial" w:cs="Arial" w:eastAsia="Arial" w:hAnsi="Arial"/>
          <w:b w:val="false"/>
          <w:bCs w:val="false"/>
          <w:sz w:val="22"/>
          <w:szCs w:val="22"/>
        </w:rPr>
        <w:t xml:space="preserve">[NEW] Paramétrage de l'option « Integration Strategy » des tables cibles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2.2 Contrôles sur les stages</w:t>
      </w:r>
    </w:p>
    <w:p>
      <w:pPr>
        <w:pStyle w:val="ListParagraph"/>
        <w:numPr>
          <w:ilvl w:val="0"/>
          <w:numId w:val="2"/>
        </w:numPr>
        <w:spacing w:after="40" w:before="40"/>
      </w:pPr>
      <w:r>
        <w:rPr>
          <w:rFonts w:ascii="Arial" w:cs="Arial" w:eastAsia="Arial" w:hAnsi="Arial"/>
          <w:b w:val="false"/>
          <w:bCs w:val="false"/>
          <w:sz w:val="22"/>
          <w:szCs w:val="22"/>
        </w:rPr>
        <w:t xml:space="preserve">Les stages associés à un metadata qui n'appartient pas au même projet que le mapping utilisant ce stage</w:t>
      </w:r>
    </w:p>
    <w:p>
      <w:pPr>
        <w:pStyle w:val="ListParagraph"/>
        <w:numPr>
          <w:ilvl w:val="0"/>
          <w:numId w:val="2"/>
        </w:numPr>
        <w:spacing w:after="40" w:before="40"/>
      </w:pPr>
      <w:r>
        <w:rPr>
          <w:rFonts w:ascii="Arial" w:cs="Arial" w:eastAsia="Arial" w:hAnsi="Arial"/>
          <w:b w:val="false"/>
          <w:bCs w:val="false"/>
          <w:sz w:val="22"/>
          <w:szCs w:val="22"/>
        </w:rPr>
        <w:t xml:space="preserve">Les schémas où sont créés les stages</w:t>
      </w:r>
    </w:p>
    <w:p>
      <w:pPr>
        <w:pStyle w:val="ListParagraph"/>
        <w:numPr>
          <w:ilvl w:val="0"/>
          <w:numId w:val="2"/>
        </w:numPr>
        <w:spacing w:after="40" w:before="40"/>
      </w:pPr>
      <w:r>
        <w:rPr>
          <w:rFonts w:ascii="Arial" w:cs="Arial" w:eastAsia="Arial" w:hAnsi="Arial"/>
          <w:b w:val="false"/>
          <w:bCs w:val="false"/>
          <w:sz w:val="22"/>
          <w:szCs w:val="22"/>
        </w:rPr>
        <w:t xml:space="preserve">Les options d'intégration des stages : « as Table », useStageNameForTemporaryObjectName, cleanTemporaryObjects, useDistinct</w:t>
      </w:r>
    </w:p>
    <w:p>
      <w:pPr>
        <w:pStyle w:val="ListParagraph"/>
        <w:numPr>
          <w:ilvl w:val="0"/>
          <w:numId w:val="2"/>
        </w:numPr>
        <w:spacing w:after="40" w:before="40"/>
      </w:pPr>
      <w:r>
        <w:rPr>
          <w:rFonts w:ascii="Arial" w:cs="Arial" w:eastAsia="Arial" w:hAnsi="Arial"/>
          <w:b w:val="false"/>
          <w:bCs w:val="false"/>
          <w:sz w:val="22"/>
          <w:szCs w:val="22"/>
        </w:rPr>
        <w:t xml:space="preserve">Nomenclature des stages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2.3 Autres contrôles</w:t>
      </w:r>
    </w:p>
    <w:p>
      <w:pPr>
        <w:pStyle w:val="ListParagraph"/>
        <w:numPr>
          <w:ilvl w:val="0"/>
          <w:numId w:val="2"/>
        </w:numPr>
        <w:spacing w:after="40" w:before="40"/>
      </w:pPr>
      <w:r>
        <w:rPr>
          <w:rFonts w:ascii="Arial" w:cs="Arial" w:eastAsia="Arial" w:hAnsi="Arial"/>
          <w:b w:val="false"/>
          <w:bCs w:val="false"/>
          <w:sz w:val="22"/>
          <w:szCs w:val="22"/>
        </w:rPr>
        <w:t xml:space="preserve">Présence d'éléments déconseillés dans les jointures</w:t>
      </w:r>
    </w:p>
    <w:p>
      <w:pPr>
        <w:pStyle w:val="ListParagraph"/>
        <w:numPr>
          <w:ilvl w:val="0"/>
          <w:numId w:val="2"/>
        </w:numPr>
        <w:spacing w:after="40" w:before="40"/>
      </w:pPr>
      <w:r>
        <w:rPr>
          <w:rFonts w:ascii="Arial" w:cs="Arial" w:eastAsia="Arial" w:hAnsi="Arial"/>
          <w:b w:val="false"/>
          <w:bCs w:val="false"/>
          <w:sz w:val="22"/>
          <w:szCs w:val="22"/>
        </w:rPr>
        <w:t xml:space="preserve">Présence de commentaires dans les mappings</w:t>
      </w:r>
    </w:p>
    <w:p>
      <w:pPr>
        <w:pStyle w:val="ListParagraph"/>
        <w:numPr>
          <w:ilvl w:val="0"/>
          <w:numId w:val="2"/>
        </w:numPr>
        <w:spacing w:after="40" w:before="40"/>
      </w:pPr>
      <w:r>
        <w:rPr>
          <w:rFonts w:ascii="Arial" w:cs="Arial" w:eastAsia="Arial" w:hAnsi="Arial"/>
          <w:b w:val="false"/>
          <w:bCs w:val="false"/>
          <w:sz w:val="22"/>
          <w:szCs w:val="22"/>
        </w:rPr>
        <w:t xml:space="preserve">Les tables déclarées dans un metadata du projet, mais n'apparaissant dans aucun mapping</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2.4 Catégories de contrôles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Catégorie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 ALERT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Éléments avec impact important sur les performances, pouvant être source de plantages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 WARNING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Éléments avec impacts plus modérés</w:t>
            </w:r>
          </w:p>
        </w:tc>
      </w:tr>
    </w:tbl>
    <w:p>
      <w:pPr>
        <w:spacing w:after="80" w:before="80"/>
      </w:pPr>
      <w:r>
        <w:t xml:space="preserve"/>
      </w:r>
    </w:p>
    <w:p>
      <w:pPr>
        <w:pStyle w:val="Heading1"/>
        <w:pBdr>
          <w:bottom w:val="single" w:color="1F4E79" w:sz="6" w:space="4"/>
        </w:pBdr>
        <w:spacing w:after="120" w:before="360"/>
      </w:pPr>
      <w:r>
        <w:rPr>
          <w:rFonts w:ascii="Arial" w:cs="Arial" w:eastAsia="Arial" w:hAnsi="Arial"/>
          <w:b/>
          <w:bCs/>
          <w:color w:val="1F4E79"/>
          <w:sz w:val="32"/>
          <w:szCs w:val="32"/>
        </w:rPr>
        <w:t xml:space="preserve">3. Statistiques &amp; résultats</w:t>
      </w:r>
    </w:p>
    <w:p>
      <w:pPr>
        <w:spacing w:after="80" w:before="80"/>
      </w:pPr>
      <w:r>
        <w:t xml:space="preserve"/>
      </w:r>
    </w:p>
    <w:p>
      <w:pPr>
        <w:spacing w:after="60" w:before="60"/>
      </w:pPr>
      <w:r>
        <w:rPr>
          <w:rFonts w:ascii="Arial" w:cs="Arial" w:eastAsia="Arial" w:hAnsi="Arial"/>
          <w:sz w:val="22"/>
          <w:szCs w:val="22"/>
        </w:rPr>
        <w:t xml:space="preserve">L'onglet « STATISTIQUES » du fichier de résultat fournit les éléments suivants :</w:t>
      </w:r>
    </w:p>
    <w:p>
      <w:pPr>
        <w:spacing w:after="8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Durée du traitement d'analyse</w:t>
      </w:r>
    </w:p>
    <w:p>
      <w:pPr>
        <w:pStyle w:val="ListParagraph"/>
        <w:numPr>
          <w:ilvl w:val="0"/>
          <w:numId w:val="2"/>
        </w:numPr>
        <w:spacing w:after="40" w:before="40"/>
      </w:pPr>
      <w:r>
        <w:rPr>
          <w:rFonts w:ascii="Arial" w:cs="Arial" w:eastAsia="Arial" w:hAnsi="Arial"/>
          <w:b w:val="false"/>
          <w:bCs w:val="false"/>
          <w:sz w:val="22"/>
          <w:szCs w:val="22"/>
        </w:rPr>
        <w:t xml:space="preserve">Dénombrement des éléments analysés dans le projet</w:t>
      </w:r>
    </w:p>
    <w:p>
      <w:pPr>
        <w:pStyle w:val="ListParagraph"/>
        <w:numPr>
          <w:ilvl w:val="0"/>
          <w:numId w:val="2"/>
        </w:numPr>
        <w:spacing w:after="40" w:before="40"/>
      </w:pPr>
      <w:r>
        <w:rPr>
          <w:rFonts w:ascii="Arial" w:cs="Arial" w:eastAsia="Arial" w:hAnsi="Arial"/>
          <w:b w:val="false"/>
          <w:bCs w:val="false"/>
          <w:sz w:val="22"/>
          <w:szCs w:val="22"/>
        </w:rPr>
        <w:t xml:space="preserve">Taux d'éléments en WARNING ou ALERT par onglet</w:t>
      </w:r>
    </w:p>
    <w:p>
      <w:pPr>
        <w:spacing w:after="80" w:before="80"/>
      </w:pPr>
      <w:r>
        <w:t xml:space="preserve"/>
      </w:r>
    </w:p>
    <w:p>
      <w:pPr>
        <w:pStyle w:val="Heading1"/>
        <w:pBdr>
          <w:bottom w:val="single" w:color="1F4E79" w:sz="6" w:space="4"/>
        </w:pBdr>
        <w:spacing w:after="120" w:before="360"/>
      </w:pPr>
      <w:r>
        <w:rPr>
          <w:rFonts w:ascii="Arial" w:cs="Arial" w:eastAsia="Arial" w:hAnsi="Arial"/>
          <w:b/>
          <w:bCs/>
          <w:color w:val="1F4E79"/>
          <w:sz w:val="32"/>
          <w:szCs w:val="32"/>
        </w:rPr>
        <w:t xml:space="preserve">4. Installation et lancement</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4.1 Prérequis</w:t>
      </w:r>
    </w:p>
    <w:p>
      <w:pPr>
        <w:spacing w:after="60" w:before="60"/>
      </w:pPr>
      <w:r>
        <w:rPr>
          <w:rFonts w:ascii="Arial" w:cs="Arial" w:eastAsia="Arial" w:hAnsi="Arial"/>
          <w:sz w:val="22"/>
          <w:szCs w:val="22"/>
        </w:rPr>
        <w:t xml:space="preserve">Accédez au répertoire réseau IBIQ_TOOLS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200"/>
              <w:bottom w:type="dxa" w:w="100"/>
              <w:right w:type="dxa" w:w="200"/>
            </w:tcMar>
          </w:tcPr>
          <w:p>
            <w:r>
              <w:rPr>
                <w:rFonts w:ascii="Courier New" w:cs="Courier New" w:eastAsia="Courier New" w:hAnsi="Courier New"/>
                <w:color w:val="00FF00"/>
                <w:sz w:val="20"/>
                <w:szCs w:val="20"/>
              </w:rPr>
              <w:t xml:space="preserve">\\f11d001\EIDDUJON\App\IBIQ\04-Application\IBIQ_TOOLS\MAYA [IBIQ_CODRVW]</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4.2 Étapes d'installation</w:t>
      </w:r>
    </w:p>
    <w:p>
      <w:pPr>
        <w:pStyle w:val="ListParagraph"/>
        <w:numPr>
          <w:ilvl w:val="0"/>
          <w:numId w:val="3"/>
        </w:numPr>
        <w:spacing w:after="40" w:before="40"/>
      </w:pPr>
      <w:r>
        <w:rPr>
          <w:rFonts w:ascii="Arial" w:cs="Arial" w:eastAsia="Arial" w:hAnsi="Arial"/>
          <w:sz w:val="22"/>
          <w:szCs w:val="22"/>
        </w:rPr>
        <w:t xml:space="preserve">Rendez-vous dans le répertoire réseau IBIQ_TOOLS indiqué ci-dessus</w:t>
      </w:r>
    </w:p>
    <w:p>
      <w:pPr>
        <w:pStyle w:val="ListParagraph"/>
        <w:numPr>
          <w:ilvl w:val="0"/>
          <w:numId w:val="3"/>
        </w:numPr>
        <w:spacing w:after="40" w:before="40"/>
      </w:pPr>
      <w:r>
        <w:rPr>
          <w:rFonts w:ascii="Arial" w:cs="Arial" w:eastAsia="Arial" w:hAnsi="Arial"/>
          <w:sz w:val="22"/>
          <w:szCs w:val="22"/>
        </w:rPr>
        <w:t xml:space="preserve">Dans Semarchy, créez un répertoire à l'emplacement de votre choix (File &gt; New &gt; Other... &gt; Folder)</w:t>
      </w:r>
    </w:p>
    <w:p>
      <w:pPr>
        <w:pStyle w:val="ListParagraph"/>
        <w:numPr>
          <w:ilvl w:val="0"/>
          <w:numId w:val="3"/>
        </w:numPr>
        <w:spacing w:after="40" w:before="40"/>
      </w:pPr>
      <w:r>
        <w:rPr>
          <w:rFonts w:ascii="Arial" w:cs="Arial" w:eastAsia="Arial" w:hAnsi="Arial"/>
          <w:sz w:val="22"/>
          <w:szCs w:val="22"/>
        </w:rPr>
        <w:t xml:space="preserve">Copiez/Collez les 4 fichiers du répertoire IBIQ dans les répertoires créés dans Semarchy</w:t>
      </w:r>
    </w:p>
    <w:p>
      <w:pPr>
        <w:spacing w:after="80" w:before="80"/>
      </w:pPr>
      <w:r>
        <w:t xml:space="preserve"/>
      </w:r>
    </w:p>
    <w:p>
      <w:pPr>
        <w:spacing w:after="60" w:before="60"/>
      </w:pPr>
      <w:r>
        <w:rPr>
          <w:rFonts w:ascii="Arial" w:cs="Arial" w:eastAsia="Arial" w:hAnsi="Arial"/>
          <w:sz w:val="22"/>
          <w:szCs w:val="22"/>
        </w:rPr>
        <w:t xml:space="preserve">Fichiers à copier :</w:t>
      </w:r>
    </w:p>
    <w:p>
      <w:pPr>
        <w:pStyle w:val="ListParagraph"/>
        <w:numPr>
          <w:ilvl w:val="0"/>
          <w:numId w:val="2"/>
        </w:numPr>
        <w:spacing w:after="40" w:before="40"/>
      </w:pPr>
      <w:r>
        <w:rPr>
          <w:rFonts w:ascii="Arial" w:cs="Arial" w:eastAsia="Arial" w:hAnsi="Arial"/>
          <w:b w:val="false"/>
          <w:bCs w:val="false"/>
          <w:sz w:val="22"/>
          <w:szCs w:val="22"/>
        </w:rPr>
        <w:t xml:space="preserve">hide.zgg</w:t>
      </w:r>
    </w:p>
    <w:p>
      <w:pPr>
        <w:pStyle w:val="ListParagraph"/>
        <w:numPr>
          <w:ilvl w:val="0"/>
          <w:numId w:val="2"/>
        </w:numPr>
        <w:spacing w:after="40" w:before="40"/>
      </w:pPr>
      <w:r>
        <w:rPr>
          <w:rFonts w:ascii="Arial" w:cs="Arial" w:eastAsia="Arial" w:hAnsi="Arial"/>
          <w:b w:val="false"/>
          <w:bCs w:val="false"/>
          <w:sz w:val="22"/>
          <w:szCs w:val="22"/>
        </w:rPr>
        <w:t xml:space="preserve">IBIx_CODRVW.exe</w:t>
      </w:r>
    </w:p>
    <w:p>
      <w:pPr>
        <w:pStyle w:val="ListParagraph"/>
        <w:numPr>
          <w:ilvl w:val="0"/>
          <w:numId w:val="2"/>
        </w:numPr>
        <w:spacing w:after="40" w:before="40"/>
      </w:pPr>
      <w:r>
        <w:rPr>
          <w:rFonts w:ascii="Arial" w:cs="Arial" w:eastAsia="Arial" w:hAnsi="Arial"/>
          <w:b w:val="false"/>
          <w:bCs w:val="false"/>
          <w:sz w:val="22"/>
          <w:szCs w:val="22"/>
        </w:rPr>
        <w:t xml:space="preserve">logSmI.png</w:t>
      </w:r>
    </w:p>
    <w:p>
      <w:pPr>
        <w:pStyle w:val="ListParagraph"/>
        <w:numPr>
          <w:ilvl w:val="0"/>
          <w:numId w:val="2"/>
        </w:numPr>
        <w:spacing w:after="40" w:before="40"/>
      </w:pPr>
      <w:r>
        <w:rPr>
          <w:rFonts w:ascii="Arial" w:cs="Arial" w:eastAsia="Arial" w:hAnsi="Arial"/>
          <w:b w:val="false"/>
          <w:bCs w:val="false"/>
          <w:sz w:val="22"/>
          <w:szCs w:val="22"/>
        </w:rPr>
        <w:t xml:space="preserve">rule.zgg</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4.3 Lancement</w:t>
      </w:r>
    </w:p>
    <w:p>
      <w:pPr>
        <w:spacing w:after="60" w:before="60"/>
      </w:pPr>
      <w:r>
        <w:rPr>
          <w:rFonts w:ascii="Arial" w:cs="Arial" w:eastAsia="Arial" w:hAnsi="Arial"/>
          <w:sz w:val="22"/>
          <w:szCs w:val="22"/>
        </w:rPr>
        <w:t xml:space="preserve">Pour lancer l'outil, double-cliquez sur IBIx_CODRVW.exe et laissez-vous guider.</w:t>
      </w:r>
    </w:p>
    <w:p>
      <w:pPr>
        <w:spacing w:after="80" w:before="80"/>
      </w:pPr>
      <w:r>
        <w:t xml:space="preserve"/>
      </w:r>
    </w:p>
    <w:p>
      <w:pPr>
        <w:spacing w:after="60" w:before="60"/>
      </w:pPr>
      <w:r>
        <w:rPr>
          <w:rFonts w:ascii="Arial" w:cs="Arial" w:eastAsia="Arial" w:hAnsi="Arial"/>
          <w:sz w:val="22"/>
          <w:szCs w:val="22"/>
        </w:rPr>
        <w:t xml:space="preserve">À la fin de l'analyse, les résultats sont formatés dans un fichier Excel que vous pouvez sauvegarder sur votre poste.</w:t>
      </w:r>
    </w:p>
    <w:p>
      <w:pPr>
        <w:spacing w:after="80" w:before="80"/>
      </w:pPr>
      <w:r>
        <w:t xml:space="preserve"/>
      </w:r>
    </w:p>
    <w:p>
      <w:pPr>
        <w:pStyle w:val="Heading1"/>
        <w:pBdr>
          <w:bottom w:val="single" w:color="1F4E79" w:sz="6" w:space="4"/>
        </w:pBdr>
        <w:spacing w:after="120" w:before="360"/>
      </w:pPr>
      <w:r>
        <w:rPr>
          <w:rFonts w:ascii="Arial" w:cs="Arial" w:eastAsia="Arial" w:hAnsi="Arial"/>
          <w:b/>
          <w:bCs/>
          <w:color w:val="1F4E79"/>
          <w:sz w:val="32"/>
          <w:szCs w:val="32"/>
        </w:rPr>
        <w:t xml:space="preserve">5. Résolution des problèmes (FAQ)</w:t>
      </w:r>
    </w:p>
    <w:p>
      <w:pPr>
        <w:spacing w:after="80" w:before="80"/>
      </w:pPr>
      <w:r>
        <w:t xml:space="preserve"/>
      </w:r>
    </w:p>
    <w:p>
      <w:pPr>
        <w:pStyle w:val="Heading3"/>
        <w:spacing w:after="60" w:before="180"/>
      </w:pPr>
      <w:r>
        <w:rPr>
          <w:rFonts w:ascii="Arial" w:cs="Arial" w:eastAsia="Arial" w:hAnsi="Arial"/>
          <w:b/>
          <w:bCs/>
          <w:color w:val="C55A11"/>
          <w:sz w:val="24"/>
          <w:szCs w:val="24"/>
        </w:rPr>
        <w:t xml:space="preserve">Erreur XML à l'exécution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200"/>
              <w:bottom w:type="dxa" w:w="100"/>
              <w:right w:type="dxa" w:w="200"/>
            </w:tcMar>
          </w:tcPr>
          <w:p>
            <w:r>
              <w:rPr>
                <w:rFonts w:ascii="Courier New" w:cs="Courier New" w:eastAsia="Courier New" w:hAnsi="Courier New"/>
                <w:color w:val="AAAAAA"/>
                <w:sz w:val="18"/>
                <w:szCs w:val="18"/>
              </w:rPr>
              <w:t xml:space="preserve">[02/03/2026 11:29:48] &gt;&gt;&gt; LANCEMENT de l'analyse... Merci de patienter...</w:t>
            </w:r>
          </w:p>
          <w:p>
            <w:r>
              <w:rPr>
                <w:rFonts w:ascii="Courier New" w:cs="Courier New" w:eastAsia="Courier New" w:hAnsi="Courier New"/>
                <w:color w:val="AAAAAA"/>
                <w:sz w:val="18"/>
                <w:szCs w:val="18"/>
              </w:rPr>
              <w:t xml:space="preserve">[02/03/2026 11:29:48] &gt;&gt;&gt; Analyse Metadata : Schemas...</w:t>
            </w:r>
          </w:p>
          <w:p>
            <w:r>
              <w:rPr>
                <w:rFonts w:ascii="Courier New" w:cs="Courier New" w:eastAsia="Courier New" w:hAnsi="Courier New"/>
                <w:color w:val="FF6666"/>
                <w:sz w:val="18"/>
                <w:szCs w:val="18"/>
              </w:rPr>
              <w:t xml:space="preserve">Exception non gérée : System.Xml.XmlException: Données non valides au niveau racine. Ligne 1, position 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Cause</w:t>
            </w:r>
          </w:p>
        </w:tc>
        <w:tc>
          <w:tcPr>
            <w:tcW w:type="dxa" w:w="79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2"/>
                <w:szCs w:val="22"/>
              </w:rPr>
              <w:t xml:space="preserve">Présence d'un fichier README.md dans un des projets de votre workspace.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Solution</w:t>
            </w:r>
          </w:p>
        </w:tc>
        <w:tc>
          <w:tcPr>
            <w:tcW w:type="dxa" w:w="79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2"/>
                <w:szCs w:val="22"/>
              </w:rPr>
              <w:t xml:space="preserve">Renommez ce fichier en README.mkd ou supprimez-le.</w:t>
            </w:r>
          </w:p>
        </w:tc>
      </w:tr>
    </w:tbl>
    <w:p>
      <w:pPr>
        <w:spacing w:after="80" w:before="80"/>
      </w:pPr>
      <w:r>
        <w:t xml:space="preserve"/>
      </w:r>
    </w:p>
    <w:p>
      <w:pPr>
        <w:pStyle w:val="Heading3"/>
        <w:spacing w:after="60" w:before="180"/>
      </w:pPr>
      <w:r>
        <w:rPr>
          <w:rFonts w:ascii="Arial" w:cs="Arial" w:eastAsia="Arial" w:hAnsi="Arial"/>
          <w:b/>
          <w:bCs/>
          <w:color w:val="C55A11"/>
          <w:sz w:val="24"/>
          <w:szCs w:val="24"/>
        </w:rPr>
        <w:t xml:space="preserve">Le programme plante à l'exécution</w:t>
      </w:r>
    </w:p>
    <w:p>
      <w:pPr>
        <w:spacing w:after="60" w:before="60"/>
      </w:pPr>
      <w:r>
        <w:rPr>
          <w:rFonts w:ascii="Arial" w:cs="Arial" w:eastAsia="Arial" w:hAnsi="Arial"/>
          <w:sz w:val="22"/>
          <w:szCs w:val="22"/>
        </w:rPr>
        <w:t xml:space="preserve">Contactez les référents indiqués en tête de la page Wiki MAYA.</w:t>
      </w:r>
    </w:p>
    <w:p>
      <w:pPr>
        <w:spacing w:after="80" w:before="80"/>
      </w:pPr>
      <w:r>
        <w:t xml:space="preserve"/>
      </w:r>
    </w:p>
    <w:p>
      <w:pPr>
        <w:pStyle w:val="Heading3"/>
        <w:spacing w:after="60" w:before="180"/>
      </w:pPr>
      <w:r>
        <w:rPr>
          <w:rFonts w:ascii="Arial" w:cs="Arial" w:eastAsia="Arial" w:hAnsi="Arial"/>
          <w:b/>
          <w:bCs/>
          <w:color w:val="C55A11"/>
          <w:sz w:val="24"/>
          <w:szCs w:val="24"/>
        </w:rPr>
        <w:t xml:space="preserve">Anomalie dans les résultats retournés</w:t>
      </w:r>
    </w:p>
    <w:p>
      <w:pPr>
        <w:spacing w:after="60" w:before="60"/>
      </w:pPr>
      <w:r>
        <w:rPr>
          <w:rFonts w:ascii="Arial" w:cs="Arial" w:eastAsia="Arial" w:hAnsi="Arial"/>
          <w:sz w:val="22"/>
          <w:szCs w:val="22"/>
        </w:rPr>
        <w:t xml:space="preserve">Contactez les référents indiqués en tête de la page Wiki MAYA.</w:t>
      </w:r>
    </w:p>
    <w:p>
      <w:pPr>
        <w:spacing w:after="80" w:before="80"/>
      </w:pPr>
      <w:r>
        <w:t xml:space="preserve"/>
      </w:r>
    </w:p>
    <w:p>
      <w:pPr>
        <w:pStyle w:val="Heading3"/>
        <w:spacing w:after="60" w:before="180"/>
      </w:pPr>
      <w:r>
        <w:rPr>
          <w:rFonts w:ascii="Arial" w:cs="Arial" w:eastAsia="Arial" w:hAnsi="Arial"/>
          <w:b/>
          <w:bCs/>
          <w:color w:val="C55A11"/>
          <w:sz w:val="24"/>
          <w:szCs w:val="24"/>
        </w:rPr>
        <w:t xml:space="preserve">Questions ou suggestions pour les prochaines versions</w:t>
      </w:r>
    </w:p>
    <w:p>
      <w:pPr>
        <w:spacing w:after="60" w:before="60"/>
      </w:pPr>
      <w:r>
        <w:rPr>
          <w:rFonts w:ascii="Arial" w:cs="Arial" w:eastAsia="Arial" w:hAnsi="Arial"/>
          <w:sz w:val="22"/>
          <w:szCs w:val="22"/>
        </w:rPr>
        <w:t xml:space="preserve">Contactez les référents indiqués en tête de la page Wiki MAYA.</w:t>
      </w:r>
    </w:p>
    <w:p>
      <w:pPr>
        <w:spacing w:after="80" w:before="80"/>
      </w:pPr>
      <w:r>
        <w:t xml:space="preserve"/>
      </w:r>
    </w:p>
    <w:p>
      <w:pPr>
        <w:pStyle w:val="Heading1"/>
        <w:pBdr>
          <w:bottom w:val="single" w:color="1F4E79" w:sz="6" w:space="4"/>
        </w:pBdr>
        <w:spacing w:after="120" w:before="360"/>
      </w:pPr>
      <w:r>
        <w:rPr>
          <w:rFonts w:ascii="Arial" w:cs="Arial" w:eastAsia="Arial" w:hAnsi="Arial"/>
          <w:b/>
          <w:bCs/>
          <w:color w:val="1F4E79"/>
          <w:sz w:val="32"/>
          <w:szCs w:val="32"/>
        </w:rPr>
        <w:t xml:space="preserve">6. Questions fréquentes</w:t>
      </w:r>
    </w:p>
    <w:p>
      <w:pPr>
        <w:spacing w:after="80" w:before="80"/>
      </w:pPr>
      <w:r>
        <w:t xml:space="preserve"/>
      </w:r>
    </w:p>
    <w:p>
      <w:pPr>
        <w:pStyle w:val="Heading3"/>
        <w:spacing w:after="60" w:before="180"/>
      </w:pPr>
      <w:r>
        <w:rPr>
          <w:rFonts w:ascii="Arial" w:cs="Arial" w:eastAsia="Arial" w:hAnsi="Arial"/>
          <w:b/>
          <w:bCs/>
          <w:color w:val="C55A11"/>
          <w:sz w:val="24"/>
          <w:szCs w:val="24"/>
        </w:rPr>
        <w:t xml:space="preserve">MAYA et « Dette Stade » : c'est la même chose ?</w:t>
      </w:r>
    </w:p>
    <w:p>
      <w:pPr>
        <w:pStyle w:val="ListParagraph"/>
        <w:numPr>
          <w:ilvl w:val="0"/>
          <w:numId w:val="2"/>
        </w:numPr>
        <w:spacing w:after="40" w:before="40"/>
      </w:pPr>
      <w:r>
        <w:rPr>
          <w:rFonts w:ascii="Arial" w:cs="Arial" w:eastAsia="Arial" w:hAnsi="Arial"/>
          <w:b w:val="false"/>
          <w:bCs w:val="false"/>
          <w:sz w:val="22"/>
          <w:szCs w:val="22"/>
        </w:rPr>
        <w:t xml:space="preserve">MAYA analyse vos mappings selon les normes SIAD.</w:t>
      </w:r>
    </w:p>
    <w:p>
      <w:pPr>
        <w:pStyle w:val="ListParagraph"/>
        <w:numPr>
          <w:ilvl w:val="0"/>
          <w:numId w:val="2"/>
        </w:numPr>
        <w:spacing w:after="40" w:before="40"/>
      </w:pPr>
      <w:r>
        <w:rPr>
          <w:rFonts w:ascii="Arial" w:cs="Arial" w:eastAsia="Arial" w:hAnsi="Arial"/>
          <w:b w:val="false"/>
          <w:bCs w:val="false"/>
          <w:sz w:val="22"/>
          <w:szCs w:val="22"/>
        </w:rPr>
        <w:t xml:space="preserve">STADE analyse vos mappings selon les normes SIDU.</w:t>
      </w:r>
    </w:p>
    <w:p>
      <w:pPr>
        <w:pStyle w:val="ListParagraph"/>
        <w:numPr>
          <w:ilvl w:val="0"/>
          <w:numId w:val="2"/>
        </w:numPr>
        <w:spacing w:after="40" w:before="40"/>
      </w:pPr>
      <w:r>
        <w:rPr>
          <w:rFonts w:ascii="Arial" w:cs="Arial" w:eastAsia="Arial" w:hAnsi="Arial"/>
          <w:b w:val="false"/>
          <w:bCs w:val="false"/>
          <w:sz w:val="22"/>
          <w:szCs w:val="22"/>
        </w:rPr>
        <w:t xml:space="preserve">Les normes SIAD diffèrent des normes SIDU. Un « bon » résultat retourné par MAYA pourra donner une dette élevée dans STADE.</w:t>
      </w:r>
    </w:p>
    <w:p>
      <w:pPr>
        <w:spacing w:after="80" w:before="80"/>
      </w:pPr>
      <w:r>
        <w:t xml:space="preserve"/>
      </w:r>
    </w:p>
    <w:p>
      <w:pPr>
        <w:pStyle w:val="Heading3"/>
        <w:spacing w:after="60" w:before="180"/>
      </w:pPr>
      <w:r>
        <w:rPr>
          <w:rFonts w:ascii="Arial" w:cs="Arial" w:eastAsia="Arial" w:hAnsi="Arial"/>
          <w:b/>
          <w:bCs/>
          <w:color w:val="C55A11"/>
          <w:sz w:val="24"/>
          <w:szCs w:val="24"/>
        </w:rPr>
        <w:t xml:space="preserve">Que faire du fichier résultat ?</w:t>
      </w:r>
    </w:p>
    <w:p>
      <w:pPr>
        <w:spacing w:after="60" w:before="60"/>
      </w:pPr>
      <w:r>
        <w:rPr>
          <w:rFonts w:ascii="Arial" w:cs="Arial" w:eastAsia="Arial" w:hAnsi="Arial"/>
          <w:sz w:val="22"/>
          <w:szCs w:val="22"/>
        </w:rPr>
        <w:t xml:space="preserve">Rapprochez-vous de votre Responsable d'Équipe pour connaître les pratiques à adopter concernant la conservation, la fréquence d'exécution et le suivi des résultats.</w:t>
      </w:r>
    </w:p>
    <w:p>
      <w:pPr>
        <w:spacing w:after="80" w:before="80"/>
      </w:pPr>
      <w:r>
        <w:t xml:space="preserve"/>
      </w:r>
    </w:p>
    <w:p>
      <w:pPr>
        <w:pStyle w:val="Heading3"/>
        <w:spacing w:after="60" w:before="180"/>
      </w:pPr>
      <w:r>
        <w:rPr>
          <w:rFonts w:ascii="Arial" w:cs="Arial" w:eastAsia="Arial" w:hAnsi="Arial"/>
          <w:b/>
          <w:bCs/>
          <w:color w:val="C55A11"/>
          <w:sz w:val="24"/>
          <w:szCs w:val="24"/>
        </w:rPr>
        <w:t xml:space="preserve">Où trouver la version de MAYA utilisée ?</w:t>
      </w:r>
    </w:p>
    <w:p>
      <w:pPr>
        <w:spacing w:after="60" w:before="60"/>
      </w:pPr>
      <w:r>
        <w:rPr>
          <w:rFonts w:ascii="Arial" w:cs="Arial" w:eastAsia="Arial" w:hAnsi="Arial"/>
          <w:sz w:val="22"/>
          <w:szCs w:val="22"/>
        </w:rPr>
        <w:t xml:space="preserve">La version figure parmi les informations affichées au lancement de l'utilitaire (ex. : Version : 2.400_2026.03.17).</w:t>
      </w:r>
    </w:p>
    <w:p>
      <w:pPr>
        <w:spacing w:after="80" w:before="80"/>
      </w:pPr>
      <w:r>
        <w:t xml:space="preserve"/>
      </w:r>
    </w:p>
    <w:p>
      <w:pPr>
        <w:pStyle w:val="Heading1"/>
        <w:pBdr>
          <w:bottom w:val="single" w:color="1F4E79" w:sz="6" w:space="4"/>
        </w:pBdr>
        <w:spacing w:after="120" w:before="360"/>
      </w:pPr>
      <w:r>
        <w:rPr>
          <w:rFonts w:ascii="Arial" w:cs="Arial" w:eastAsia="Arial" w:hAnsi="Arial"/>
          <w:b/>
          <w:bCs/>
          <w:color w:val="1F4E79"/>
          <w:sz w:val="32"/>
          <w:szCs w:val="32"/>
        </w:rPr>
        <w:t xml:space="preserve">7. Ambitions futures</w:t>
      </w:r>
    </w:p>
    <w:p>
      <w:pPr>
        <w:spacing w:after="80" w:before="80"/>
      </w:pPr>
      <w:r>
        <w:t xml:space="preserve"/>
      </w:r>
    </w:p>
    <w:p>
      <w:pPr>
        <w:spacing w:after="60" w:before="60"/>
      </w:pPr>
      <w:r>
        <w:rPr>
          <w:rFonts w:ascii="Arial" w:cs="Arial" w:eastAsia="Arial" w:hAnsi="Arial"/>
          <w:sz w:val="22"/>
          <w:szCs w:val="22"/>
        </w:rPr>
        <w:t xml:space="preserve">Si l'outil trouve son public dans sa version actuelle, l'implémentation de nouvelles fonctionnalités sera étudiée, notamment :</w:t>
      </w:r>
    </w:p>
    <w:p>
      <w:pPr>
        <w:pStyle w:val="ListParagraph"/>
        <w:numPr>
          <w:ilvl w:val="0"/>
          <w:numId w:val="2"/>
        </w:numPr>
        <w:spacing w:after="40" w:before="40"/>
      </w:pPr>
      <w:r>
        <w:rPr>
          <w:rFonts w:ascii="Arial" w:cs="Arial" w:eastAsia="Arial" w:hAnsi="Arial"/>
          <w:b w:val="false"/>
          <w:bCs w:val="false"/>
          <w:sz w:val="22"/>
          <w:szCs w:val="22"/>
        </w:rPr>
        <w:t xml:space="preserve">L'analyse des Process</w:t>
      </w:r>
    </w:p>
    <w:p>
      <w:pPr>
        <w:pStyle w:val="ListParagraph"/>
        <w:numPr>
          <w:ilvl w:val="0"/>
          <w:numId w:val="2"/>
        </w:numPr>
        <w:spacing w:after="40" w:before="40"/>
      </w:pPr>
      <w:r>
        <w:rPr>
          <w:rFonts w:ascii="Arial" w:cs="Arial" w:eastAsia="Arial" w:hAnsi="Arial"/>
          <w:b w:val="false"/>
          <w:bCs w:val="false"/>
          <w:sz w:val="22"/>
          <w:szCs w:val="22"/>
        </w:rPr>
        <w:t xml:space="preserve">La détection de mappings non utilisés ou désactivés</w:t>
      </w:r>
    </w:p>
    <w:p>
      <w:pPr>
        <w:spacing w:after="80" w:before="80"/>
      </w:pPr>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2026-04-16T18:51:40.361Z</dcterms:created>
  <dcterms:modified xsi:type="dcterms:W3CDTF">2026-04-16T18:51:40.362Z</dcterms:modified>
</cp:coreProperties>
</file>

<file path=docProps/custom.xml><?xml version="1.0" encoding="utf-8"?>
<Properties xmlns="http://schemas.openxmlformats.org/officeDocument/2006/custom-properties" xmlns:vt="http://schemas.openxmlformats.org/officeDocument/2006/docPropsVTypes"/>
</file>