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A5276"/>
          <w:sz w:val="56"/>
          <w:szCs w:val="56"/>
        </w:rPr>
        <w:t xml:space="preserve">PROJET DE VISUALISATION DE LIGNAGE</w:t>
      </w:r>
    </w:p>
    <w:p>
      <w:pPr>
        <w:spacing w:after="120" w:before="0"/>
        <w:jc w:val="center"/>
      </w:pPr>
      <w:r>
        <w:rPr>
          <w:rFonts w:ascii="Arial" w:cs="Arial" w:eastAsia="Arial" w:hAnsi="Arial"/>
          <w:i/>
          <w:iCs/>
          <w:color w:val="5D6D7E"/>
          <w:sz w:val="36"/>
          <w:szCs w:val="36"/>
        </w:rPr>
        <w:t xml:space="preserve">Data Lineage Visualization</w:t>
      </w:r>
    </w:p>
    <w:p>
      <w:pPr>
        <w:pBdr>
          <w:bottom w:val="single" w:color="1A5276" w:sz="4" w:space="1"/>
        </w:pBdr>
        <w:spacing w:after="600" w:before="200"/>
        <w:jc w:val="center"/>
      </w:pPr>
      <w:r>
        <w:rPr>
          <w:rFonts w:ascii="Arial" w:cs="Arial" w:eastAsia="Arial" w:hAnsi="Arial"/>
          <w:sz w:val="22"/>
          <w:szCs w:val="22"/>
        </w:rPr>
        <w:t xml:space="preserve"> </w:t>
      </w:r>
    </w:p>
    <w:p>
      <w:pPr>
        <w:spacing w:after="120" w:before="400"/>
        <w:jc w:val="center"/>
      </w:pPr>
      <w:r>
        <w:rPr>
          <w:rFonts w:ascii="Arial" w:cs="Arial" w:eastAsia="Arial" w:hAnsi="Arial"/>
          <w:color w:val="2874A6"/>
          <w:sz w:val="26"/>
          <w:szCs w:val="26"/>
        </w:rPr>
        <w:t xml:space="preserve">Modélisation | Spécifications Fonctionnelles | Backlog Complet</w:t>
      </w:r>
    </w:p>
    <w:p>
      <w:pPr>
        <w:spacing w:after="0" w:before="200"/>
        <w:jc w:val="center"/>
      </w:pPr>
      <w:r>
        <w:rPr>
          <w:rFonts w:ascii="Arial" w:cs="Arial" w:eastAsia="Arial" w:hAnsi="Arial"/>
          <w:color w:val="5D6D7E"/>
          <w:sz w:val="22"/>
          <w:szCs w:val="22"/>
        </w:rPr>
        <w:t xml:space="preserve">Version 1.0 — Avril 2026</w:t>
      </w:r>
    </w:p>
    <w:p>
      <w:r>
        <w:br w:type="page"/>
      </w:r>
    </w:p>
    <w:p>
      <w:pPr>
        <w:pStyle w:val="Heading1"/>
        <w:spacing w:after="200" w:before="400"/>
      </w:pPr>
      <w:r>
        <w:rPr>
          <w:rFonts w:ascii="Arial" w:cs="Arial" w:eastAsia="Arial" w:hAnsi="Arial"/>
          <w:b/>
          <w:bCs/>
          <w:color w:val="1A5276"/>
          <w:sz w:val="36"/>
          <w:szCs w:val="36"/>
        </w:rPr>
        <w:t xml:space="preserve">1. Introduction et Contexte</w:t>
      </w:r>
    </w:p>
    <w:p>
      <w:pPr>
        <w:spacing w:after="80" w:before="80"/>
      </w:pPr>
      <w:r>
        <w:rPr>
          <w:rFonts w:ascii="Arial" w:cs="Arial" w:eastAsia="Arial" w:hAnsi="Arial"/>
          <w:sz w:val="22"/>
          <w:szCs w:val="22"/>
        </w:rPr>
        <w:t xml:space="preserve">Ce document présente la modélisation, les spécifications fonctionnelles et le backlog complet du projet de visualisation du lignage de données (Data Lineage). L'application permet aux utilisateurs d'explorer les flux de données entre les systèmes sources, les transformations et les systèmes cibles.</w:t>
      </w:r>
    </w:p>
    <w:p>
      <w:pPr>
        <w:spacing w:after="80" w:before="80"/>
      </w:pPr>
      <w:r>
        <w:t xml:space="preserve"/>
      </w:r>
    </w:p>
    <w:p>
      <w:pPr>
        <w:pStyle w:val="Heading2"/>
        <w:spacing w:after="160" w:before="300"/>
      </w:pPr>
      <w:r>
        <w:rPr>
          <w:rFonts w:ascii="Arial" w:cs="Arial" w:eastAsia="Arial" w:hAnsi="Arial"/>
          <w:b/>
          <w:bCs/>
          <w:color w:val="1F618D"/>
          <w:sz w:val="28"/>
          <w:szCs w:val="28"/>
        </w:rPr>
        <w:t xml:space="preserve">1.1 Objectifs du projet</w:t>
      </w:r>
    </w:p>
    <w:p>
      <w:pPr>
        <w:pStyle w:val="ListParagraph"/>
        <w:numPr>
          <w:ilvl w:val="0"/>
          <w:numId w:val="2"/>
        </w:numPr>
        <w:spacing w:after="60" w:before="60"/>
      </w:pPr>
      <w:r>
        <w:rPr>
          <w:rFonts w:ascii="Arial" w:cs="Arial" w:eastAsia="Arial" w:hAnsi="Arial"/>
          <w:sz w:val="22"/>
          <w:szCs w:val="22"/>
        </w:rPr>
        <w:t xml:space="preserve">Permettre la recherche de nœuds de lignage par critères (table, colonne, schéma, transformation)</w:t>
      </w:r>
    </w:p>
    <w:p>
      <w:pPr>
        <w:pStyle w:val="ListParagraph"/>
        <w:numPr>
          <w:ilvl w:val="0"/>
          <w:numId w:val="2"/>
        </w:numPr>
        <w:spacing w:after="60" w:before="60"/>
      </w:pPr>
      <w:r>
        <w:rPr>
          <w:rFonts w:ascii="Arial" w:cs="Arial" w:eastAsia="Arial" w:hAnsi="Arial"/>
          <w:sz w:val="22"/>
          <w:szCs w:val="22"/>
        </w:rPr>
        <w:t xml:space="preserve">Visualiser les relations prédécesseur / successeur pour chaque nœud</w:t>
      </w:r>
    </w:p>
    <w:p>
      <w:pPr>
        <w:pStyle w:val="ListParagraph"/>
        <w:numPr>
          <w:ilvl w:val="0"/>
          <w:numId w:val="2"/>
        </w:numPr>
        <w:spacing w:after="60" w:before="60"/>
      </w:pPr>
      <w:r>
        <w:rPr>
          <w:rFonts w:ascii="Arial" w:cs="Arial" w:eastAsia="Arial" w:hAnsi="Arial"/>
          <w:sz w:val="22"/>
          <w:szCs w:val="22"/>
        </w:rPr>
        <w:t xml:space="preserve">Offrir une navigation intuitive entre les deux écrans principaux</w:t>
      </w:r>
    </w:p>
    <w:p>
      <w:pPr>
        <w:pStyle w:val="ListParagraph"/>
        <w:numPr>
          <w:ilvl w:val="0"/>
          <w:numId w:val="2"/>
        </w:numPr>
        <w:spacing w:after="60" w:before="60"/>
      </w:pPr>
      <w:r>
        <w:rPr>
          <w:rFonts w:ascii="Arial" w:cs="Arial" w:eastAsia="Arial" w:hAnsi="Arial"/>
          <w:sz w:val="22"/>
          <w:szCs w:val="22"/>
        </w:rPr>
        <w:t xml:space="preserve">S'appuyer sur une base de données de graphe de lignage</w:t>
      </w:r>
    </w:p>
    <w:p>
      <w:pPr>
        <w:spacing w:after="80" w:before="80"/>
      </w:pPr>
      <w:r>
        <w:t xml:space="preserve"/>
      </w:r>
    </w:p>
    <w:p>
      <w:pPr>
        <w:pStyle w:val="Heading2"/>
        <w:spacing w:after="160" w:before="300"/>
      </w:pPr>
      <w:r>
        <w:rPr>
          <w:rFonts w:ascii="Arial" w:cs="Arial" w:eastAsia="Arial" w:hAnsi="Arial"/>
          <w:b/>
          <w:bCs/>
          <w:color w:val="1F618D"/>
          <w:sz w:val="28"/>
          <w:szCs w:val="28"/>
        </w:rPr>
        <w:t xml:space="preserve">1.2 Périmètre fonctionnel</w:t>
      </w:r>
    </w:p>
    <w:p>
      <w:pPr>
        <w:spacing w:after="80" w:before="80"/>
      </w:pPr>
      <w:r>
        <w:rPr>
          <w:rFonts w:ascii="Arial" w:cs="Arial" w:eastAsia="Arial" w:hAnsi="Arial"/>
          <w:sz w:val="22"/>
          <w:szCs w:val="22"/>
        </w:rPr>
        <w:t xml:space="preserve">L'application couvre deux écrans principaux :</w:t>
      </w:r>
    </w:p>
    <w:p>
      <w:pPr>
        <w:pStyle w:val="ListParagraph"/>
        <w:numPr>
          <w:ilvl w:val="0"/>
          <w:numId w:val="2"/>
        </w:numPr>
        <w:spacing w:after="60" w:before="60"/>
      </w:pPr>
      <w:r>
        <w:rPr>
          <w:rFonts w:ascii="Arial" w:cs="Arial" w:eastAsia="Arial" w:hAnsi="Arial"/>
          <w:sz w:val="22"/>
          <w:szCs w:val="22"/>
        </w:rPr>
        <w:t xml:space="preserve">Ecran 1 — Recherche : saisie de critères et affichage des résultats</w:t>
      </w:r>
    </w:p>
    <w:p>
      <w:pPr>
        <w:pStyle w:val="ListParagraph"/>
        <w:numPr>
          <w:ilvl w:val="0"/>
          <w:numId w:val="2"/>
        </w:numPr>
        <w:spacing w:after="60" w:before="60"/>
      </w:pPr>
      <w:r>
        <w:rPr>
          <w:rFonts w:ascii="Arial" w:cs="Arial" w:eastAsia="Arial" w:hAnsi="Arial"/>
          <w:sz w:val="22"/>
          <w:szCs w:val="22"/>
        </w:rPr>
        <w:t xml:space="preserve">Ecran 2 — Consultation du lignage : détail des prédécesseurs et successeurs</w:t>
      </w:r>
    </w:p>
    <w:p>
      <w:pPr>
        <w:spacing w:after="80" w:before="80"/>
      </w:pPr>
      <w:r>
        <w:t xml:space="preserve"/>
      </w:r>
    </w:p>
    <w:p>
      <w:r>
        <w:br w:type="page"/>
      </w:r>
    </w:p>
    <w:p>
      <w:pPr>
        <w:pStyle w:val="Heading1"/>
        <w:spacing w:after="200" w:before="400"/>
      </w:pPr>
      <w:r>
        <w:rPr>
          <w:rFonts w:ascii="Arial" w:cs="Arial" w:eastAsia="Arial" w:hAnsi="Arial"/>
          <w:b/>
          <w:bCs/>
          <w:color w:val="1A5276"/>
          <w:sz w:val="36"/>
          <w:szCs w:val="36"/>
        </w:rPr>
        <w:t xml:space="preserve">2. Modélisation du Lignage</w:t>
      </w:r>
    </w:p>
    <w:p>
      <w:pPr>
        <w:pStyle w:val="Heading2"/>
        <w:spacing w:after="160" w:before="300"/>
      </w:pPr>
      <w:r>
        <w:rPr>
          <w:rFonts w:ascii="Arial" w:cs="Arial" w:eastAsia="Arial" w:hAnsi="Arial"/>
          <w:b/>
          <w:bCs/>
          <w:color w:val="1F618D"/>
          <w:sz w:val="28"/>
          <w:szCs w:val="28"/>
        </w:rPr>
        <w:t xml:space="preserve">2.1 Concept de graphe de lignage</w:t>
      </w:r>
    </w:p>
    <w:p>
      <w:pPr>
        <w:spacing w:after="80" w:before="80"/>
      </w:pPr>
      <w:r>
        <w:rPr>
          <w:rFonts w:ascii="Arial" w:cs="Arial" w:eastAsia="Arial" w:hAnsi="Arial"/>
          <w:sz w:val="22"/>
          <w:szCs w:val="22"/>
        </w:rPr>
        <w:t xml:space="preserve">Le lignage est représenté sous forme de graphe orienté composé de trois types de nœuds connectés par des arêtes directionnelles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000"/>
        <w:gridCol w:w="3060"/>
      </w:tblGrid>
      <w:tr>
        <w:tc>
          <w:tcPr>
            <w:tcW w:type="dxa" w:w="15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Rôle</w:t>
            </w:r>
          </w:p>
        </w:tc>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0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Exemples</w:t>
            </w:r>
          </w:p>
        </w:tc>
      </w:tr>
      <w:tr>
        <w:tc>
          <w:tcPr>
            <w:tcW w:type="dxa" w:w="15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Input (_input)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Noeud source — données brutes en entrée du processus</w:t>
            </w:r>
          </w:p>
        </w:tc>
        <w:tc>
          <w:tcPr>
            <w:tcW w:type="dxa" w:w="3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Table CUSTOMERS, ORDERS, PRODUCTS</w:t>
            </w:r>
          </w:p>
        </w:tc>
      </w:tr>
      <w:tr>
        <w:tc>
          <w:tcPr>
            <w:tcW w:type="dxa" w:w="15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7D6608"/>
                <w:sz w:val="20"/>
                <w:szCs w:val="20"/>
              </w:rPr>
              <w:t xml:space="preserv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Transformation (T)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Noeud de traitement — jointures, agrégations, calculs</w:t>
            </w:r>
          </w:p>
        </w:tc>
        <w:tc>
          <w:tcPr>
            <w:tcW w:type="dxa" w:w="3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TRF_AGG_REV, TRF_COUNT_ORD</w:t>
            </w:r>
          </w:p>
        </w:tc>
      </w:tr>
      <w:tr>
        <w:tc>
          <w:tcPr>
            <w:tcW w:type="dxa" w:w="1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Output (o)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Noeud cible — tables de destination, rapports, KPIs</w:t>
            </w:r>
          </w:p>
        </w:tc>
        <w:tc>
          <w:tcPr>
            <w:tcW w:type="dxa" w:w="3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RPT_DASHBOARD, RPT_SALES</w:t>
            </w:r>
          </w:p>
        </w:tc>
      </w:tr>
    </w:tbl>
    <w:p>
      <w:pPr>
        <w:spacing w:after="80" w:before="80"/>
      </w:pPr>
      <w:r>
        <w:t xml:space="preserve"/>
      </w:r>
    </w:p>
    <w:p>
      <w:pPr>
        <w:pStyle w:val="Heading2"/>
        <w:spacing w:after="160" w:before="300"/>
      </w:pPr>
      <w:r>
        <w:rPr>
          <w:rFonts w:ascii="Arial" w:cs="Arial" w:eastAsia="Arial" w:hAnsi="Arial"/>
          <w:b/>
          <w:bCs/>
          <w:color w:val="1F618D"/>
          <w:sz w:val="28"/>
          <w:szCs w:val="28"/>
        </w:rPr>
        <w:t xml:space="preserve">2.2 Flux de données</w:t>
      </w:r>
    </w:p>
    <w:p>
      <w:pPr>
        <w:spacing w:after="80" w:before="80"/>
      </w:pPr>
      <w:r>
        <w:rPr>
          <w:rFonts w:ascii="Arial" w:cs="Arial" w:eastAsia="Arial" w:hAnsi="Arial"/>
          <w:sz w:val="22"/>
          <w:szCs w:val="22"/>
        </w:rPr>
        <w:t xml:space="preserve">Le flux de données suit toujours la direction suivante :</w:t>
      </w:r>
    </w:p>
    <w:p>
      <w:pPr>
        <w:spacing w:after="80" w:before="80"/>
      </w:pPr>
      <w:r>
        <w:t xml:space="preserve"/>
      </w:r>
    </w:p>
    <w:p>
      <w:pPr>
        <w:spacing w:after="160" w:before="160"/>
        <w:jc w:val="center"/>
      </w:pPr>
      <w:r>
        <w:rPr>
          <w:rFonts w:ascii="Courier New" w:cs="Courier New" w:eastAsia="Courier New" w:hAnsi="Courier New"/>
          <w:b/>
          <w:bCs/>
          <w:color w:val="1A5276"/>
          <w:sz w:val="24"/>
          <w:szCs w:val="24"/>
        </w:rPr>
        <w:t xml:space="preserve">_input (i)   →   Transformation (T)   →   output (o)</w:t>
      </w:r>
    </w:p>
    <w:p>
      <w:pPr>
        <w:spacing w:after="80" w:before="80"/>
      </w:pPr>
      <w:r>
        <w:t xml:space="preserve"/>
      </w:r>
    </w:p>
    <w:p>
      <w:pPr>
        <w:pStyle w:val="Heading2"/>
        <w:spacing w:after="160" w:before="300"/>
      </w:pPr>
      <w:r>
        <w:rPr>
          <w:rFonts w:ascii="Arial" w:cs="Arial" w:eastAsia="Arial" w:hAnsi="Arial"/>
          <w:b/>
          <w:bCs/>
          <w:color w:val="1F618D"/>
          <w:sz w:val="28"/>
          <w:szCs w:val="28"/>
        </w:rPr>
        <w:t xml:space="preserve">2.3 Modèle de données — Entité Node</w:t>
      </w:r>
    </w:p>
    <w:p>
      <w:pPr>
        <w:spacing w:after="80" w:before="80"/>
      </w:pPr>
      <w:r>
        <w:rPr>
          <w:rFonts w:ascii="Arial" w:cs="Arial" w:eastAsia="Arial" w:hAnsi="Arial"/>
          <w:sz w:val="22"/>
          <w:szCs w:val="22"/>
        </w:rPr>
        <w:t xml:space="preserve">Structure d'un noeud du graphe de lignage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w:t>
            </w:r>
          </w:p>
        </w:tc>
        <w:tc>
          <w:tcPr>
            <w:tcW w:type="dxa" w:w="1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Valeurs</w:t>
            </w:r>
          </w:p>
        </w:tc>
        <w:tc>
          <w:tcPr>
            <w:tcW w:type="dxa" w:w="35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id</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UUID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Identifiant unique du noeud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type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enum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 / T / 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Type du noeud : input, transformation, output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table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 CUSTOMERS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Nom de la table concernée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schema</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 CRM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Nom du schéma de la table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column</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 CUSTOMER_ID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Nom de la colonne de la table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transformation</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string | null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 TRF_AGG_REV</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Nom/code de la transformation (null si type i ou 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database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 DWH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Base de données d'appartenance du noeud</w:t>
            </w:r>
          </w:p>
        </w:tc>
      </w:tr>
    </w:tbl>
    <w:p>
      <w:pPr>
        <w:spacing w:after="80" w:before="80"/>
      </w:pPr>
      <w:r>
        <w:t xml:space="preserve"/>
      </w:r>
    </w:p>
    <w:p>
      <w:pPr>
        <w:pStyle w:val="Heading2"/>
        <w:spacing w:after="160" w:before="300"/>
      </w:pPr>
      <w:r>
        <w:rPr>
          <w:rFonts w:ascii="Arial" w:cs="Arial" w:eastAsia="Arial" w:hAnsi="Arial"/>
          <w:b/>
          <w:bCs/>
          <w:color w:val="1F618D"/>
          <w:sz w:val="28"/>
          <w:szCs w:val="28"/>
        </w:rPr>
        <w:t xml:space="preserve">2.4 Modèle de données — Entité Edge</w:t>
      </w:r>
    </w:p>
    <w:p>
      <w:pPr>
        <w:spacing w:after="80" w:before="80"/>
      </w:pPr>
      <w:r>
        <w:rPr>
          <w:rFonts w:ascii="Arial" w:cs="Arial" w:eastAsia="Arial" w:hAnsi="Arial"/>
          <w:sz w:val="22"/>
          <w:szCs w:val="22"/>
        </w:rPr>
        <w:t xml:space="preserve">Structure d'une arête (relation) du graphe :</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w:t>
            </w:r>
          </w:p>
        </w:tc>
        <w:tc>
          <w:tcPr>
            <w:tcW w:type="dxa" w:w="1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Valeurs</w:t>
            </w:r>
          </w:p>
        </w:tc>
        <w:tc>
          <w:tcPr>
            <w:tcW w:type="dxa" w:w="35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id</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UUID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Identifiant unique de l'arête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source_id</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ref. Node.id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Identifiant du noeud source (origine)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target_id</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string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ref. Node.id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Identifiant du noeud cible (destination)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type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enum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i&gt;T / T&gt;o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Sens du flux de données</w:t>
            </w:r>
          </w:p>
        </w:tc>
      </w:tr>
    </w:tbl>
    <w:p>
      <w:pPr>
        <w:spacing w:after="80" w:before="80"/>
      </w:pPr>
      <w:r>
        <w:t xml:space="preserve"/>
      </w:r>
    </w:p>
    <w:p>
      <w:r>
        <w:br w:type="page"/>
      </w:r>
    </w:p>
    <w:p>
      <w:pPr>
        <w:pStyle w:val="Heading1"/>
        <w:spacing w:after="200" w:before="400"/>
      </w:pPr>
      <w:r>
        <w:rPr>
          <w:rFonts w:ascii="Arial" w:cs="Arial" w:eastAsia="Arial" w:hAnsi="Arial"/>
          <w:b/>
          <w:bCs/>
          <w:color w:val="1A5276"/>
          <w:sz w:val="36"/>
          <w:szCs w:val="36"/>
        </w:rPr>
        <w:t xml:space="preserve">3. Spécifications Fonctionnelles</w:t>
      </w:r>
    </w:p>
    <w:p>
      <w:pPr>
        <w:pStyle w:val="Heading2"/>
        <w:spacing w:after="160" w:before="300"/>
      </w:pPr>
      <w:r>
        <w:rPr>
          <w:rFonts w:ascii="Arial" w:cs="Arial" w:eastAsia="Arial" w:hAnsi="Arial"/>
          <w:b/>
          <w:bCs/>
          <w:color w:val="1F618D"/>
          <w:sz w:val="28"/>
          <w:szCs w:val="28"/>
        </w:rPr>
        <w:t xml:space="preserve">3.1 Ecran 1 — Recherche</w:t>
      </w:r>
    </w:p>
    <w:p>
      <w:pPr>
        <w:spacing w:after="80" w:before="80"/>
      </w:pPr>
      <w:r>
        <w:t xml:space="preserve"/>
      </w:r>
    </w:p>
    <w:p>
      <w:pPr>
        <w:spacing w:after="120" w:before="200"/>
      </w:pPr>
      <w:r>
        <w:rPr>
          <w:rFonts w:ascii="Arial" w:cs="Arial" w:eastAsia="Arial" w:hAnsi="Arial"/>
          <w:b/>
          <w:bCs/>
          <w:color w:val="2874A6"/>
          <w:sz w:val="24"/>
          <w:szCs w:val="24"/>
        </w:rPr>
        <w:t xml:space="preserve">3.1.1 Description générale</w:t>
      </w:r>
    </w:p>
    <w:p>
      <w:pPr>
        <w:spacing w:after="80" w:before="80"/>
      </w:pPr>
      <w:r>
        <w:rPr>
          <w:rFonts w:ascii="Arial" w:cs="Arial" w:eastAsia="Arial" w:hAnsi="Arial"/>
          <w:sz w:val="22"/>
          <w:szCs w:val="22"/>
        </w:rPr>
        <w:t xml:space="preserve">L'écran de recherche permet à l'utilisateur de rechercher des noeuds de lignage selon quatre critères combinables. Les résultats s'affichent dans un tableau interactif dont chaque ligne est cliquable pour accéder à la consultation du lignage.</w:t>
      </w:r>
    </w:p>
    <w:p>
      <w:pPr>
        <w:spacing w:after="80" w:before="80"/>
      </w:pPr>
      <w:r>
        <w:t xml:space="preserve"/>
      </w:r>
    </w:p>
    <w:p>
      <w:pPr>
        <w:spacing w:after="120" w:before="200"/>
      </w:pPr>
      <w:r>
        <w:rPr>
          <w:rFonts w:ascii="Arial" w:cs="Arial" w:eastAsia="Arial" w:hAnsi="Arial"/>
          <w:b/>
          <w:bCs/>
          <w:color w:val="2874A6"/>
          <w:sz w:val="24"/>
          <w:szCs w:val="24"/>
        </w:rPr>
        <w:t xml:space="preserve">3.1.2 Critères de recherche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3760"/>
      </w:tblGrid>
      <w:tr>
        <w:tc>
          <w:tcPr>
            <w:tcW w:type="dxa" w:w="1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Champ</w:t>
            </w:r>
          </w:p>
        </w:tc>
        <w:tc>
          <w:tcPr>
            <w:tcW w:type="dxa" w:w="1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 saisie</w:t>
            </w:r>
          </w:p>
        </w:tc>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Exemple</w:t>
            </w:r>
          </w:p>
        </w:tc>
        <w:tc>
          <w:tcPr>
            <w:tcW w:type="dxa" w:w="37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Comportement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Table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Texte libre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CUSTOMERS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Filtre partiel insensible à la casse (LIKE)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Schéma</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Texte libre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CRM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Filtre partiel insensible à la casse (LIKE)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Colonne</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Texte libre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CUSTOMER_ID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Filtre partiel insensible à la casse (LIKE)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Transformation</w:t>
            </w:r>
          </w:p>
        </w:tc>
        <w:tc>
          <w:tcPr>
            <w:tcW w:type="dxa" w:w="1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Texte libre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TRF_AGG_REV</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Filtre uniquement sur les noeuds de type T</w:t>
            </w:r>
          </w:p>
        </w:tc>
      </w:tr>
    </w:tbl>
    <w:p>
      <w:pPr>
        <w:spacing w:after="80" w:before="80"/>
      </w:pPr>
      <w:r>
        <w:t xml:space="preserve"/>
      </w:r>
    </w:p>
    <w:p>
      <w:pPr>
        <w:spacing w:after="120" w:before="200"/>
      </w:pPr>
      <w:r>
        <w:rPr>
          <w:rFonts w:ascii="Arial" w:cs="Arial" w:eastAsia="Arial" w:hAnsi="Arial"/>
          <w:b/>
          <w:bCs/>
          <w:color w:val="2874A6"/>
          <w:sz w:val="24"/>
          <w:szCs w:val="24"/>
        </w:rPr>
        <w:t xml:space="preserve">3.1.3 Règles fonctionnelles</w:t>
      </w:r>
    </w:p>
    <w:p>
      <w:pPr>
        <w:pStyle w:val="ListParagraph"/>
        <w:numPr>
          <w:ilvl w:val="0"/>
          <w:numId w:val="2"/>
        </w:numPr>
        <w:spacing w:after="60" w:before="60"/>
      </w:pPr>
      <w:r>
        <w:rPr>
          <w:rFonts w:ascii="Arial" w:cs="Arial" w:eastAsia="Arial" w:hAnsi="Arial"/>
          <w:sz w:val="22"/>
          <w:szCs w:val="22"/>
        </w:rPr>
        <w:t xml:space="preserve">Tous les critères sont optionnels et combinables</w:t>
      </w:r>
    </w:p>
    <w:p>
      <w:pPr>
        <w:pStyle w:val="ListParagraph"/>
        <w:numPr>
          <w:ilvl w:val="0"/>
          <w:numId w:val="2"/>
        </w:numPr>
        <w:spacing w:after="60" w:before="60"/>
      </w:pPr>
      <w:r>
        <w:rPr>
          <w:rFonts w:ascii="Arial" w:cs="Arial" w:eastAsia="Arial" w:hAnsi="Arial"/>
          <w:sz w:val="22"/>
          <w:szCs w:val="22"/>
        </w:rPr>
        <w:t xml:space="preserve">Une recherche sans critère retourne tous les noeuds</w:t>
      </w:r>
    </w:p>
    <w:p>
      <w:pPr>
        <w:pStyle w:val="ListParagraph"/>
        <w:numPr>
          <w:ilvl w:val="0"/>
          <w:numId w:val="2"/>
        </w:numPr>
        <w:spacing w:after="60" w:before="60"/>
      </w:pPr>
      <w:r>
        <w:rPr>
          <w:rFonts w:ascii="Arial" w:cs="Arial" w:eastAsia="Arial" w:hAnsi="Arial"/>
          <w:sz w:val="22"/>
          <w:szCs w:val="22"/>
        </w:rPr>
        <w:t xml:space="preserve">La touche Entrée déclenche la recherche</w:t>
      </w:r>
    </w:p>
    <w:p>
      <w:pPr>
        <w:pStyle w:val="ListParagraph"/>
        <w:numPr>
          <w:ilvl w:val="0"/>
          <w:numId w:val="2"/>
        </w:numPr>
        <w:spacing w:after="60" w:before="60"/>
      </w:pPr>
      <w:r>
        <w:rPr>
          <w:rFonts w:ascii="Arial" w:cs="Arial" w:eastAsia="Arial" w:hAnsi="Arial"/>
          <w:sz w:val="22"/>
          <w:szCs w:val="22"/>
        </w:rPr>
        <w:t xml:space="preserve">Un bouton Réinitialiser remet les critères à vide et masque les résultats</w:t>
      </w:r>
    </w:p>
    <w:p>
      <w:pPr>
        <w:pStyle w:val="ListParagraph"/>
        <w:numPr>
          <w:ilvl w:val="0"/>
          <w:numId w:val="2"/>
        </w:numPr>
        <w:spacing w:after="60" w:before="60"/>
      </w:pPr>
      <w:r>
        <w:rPr>
          <w:rFonts w:ascii="Arial" w:cs="Arial" w:eastAsia="Arial" w:hAnsi="Arial"/>
          <w:sz w:val="22"/>
          <w:szCs w:val="22"/>
        </w:rPr>
        <w:t xml:space="preserve">Un indicateur de chargement s'affiche pendant la requête</w:t>
      </w:r>
    </w:p>
    <w:p>
      <w:pPr>
        <w:pStyle w:val="ListParagraph"/>
        <w:numPr>
          <w:ilvl w:val="0"/>
          <w:numId w:val="2"/>
        </w:numPr>
        <w:spacing w:after="60" w:before="60"/>
      </w:pPr>
      <w:r>
        <w:rPr>
          <w:rFonts w:ascii="Arial" w:cs="Arial" w:eastAsia="Arial" w:hAnsi="Arial"/>
          <w:sz w:val="22"/>
          <w:szCs w:val="22"/>
        </w:rPr>
        <w:t xml:space="preserve">Si aucun résultat, un message 'Aucun résultat trouvé' est affiché</w:t>
      </w:r>
    </w:p>
    <w:p>
      <w:pPr>
        <w:spacing w:after="80" w:before="80"/>
      </w:pPr>
      <w:r>
        <w:t xml:space="preserve"/>
      </w:r>
    </w:p>
    <w:p>
      <w:pPr>
        <w:spacing w:after="120" w:before="200"/>
      </w:pPr>
      <w:r>
        <w:rPr>
          <w:rFonts w:ascii="Arial" w:cs="Arial" w:eastAsia="Arial" w:hAnsi="Arial"/>
          <w:b/>
          <w:bCs/>
          <w:color w:val="2874A6"/>
          <w:sz w:val="24"/>
          <w:szCs w:val="24"/>
        </w:rPr>
        <w:t xml:space="preserve">3.1.4 Colonnes du tableau de résultats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Colonne</w:t>
            </w:r>
          </w:p>
        </w:tc>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55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Type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node.type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Badge coloré : bleu (i), jaune (T), vert (o)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Table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node.table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Nom de la table en gras (police monospace)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Schéma</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node.schema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Schéma d'appartenance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Colonne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node.column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Nom de la colonne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Transformation</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node.transformation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Code de transformation ou tiret si vide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Base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node.database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Base de données d'origine</w:t>
            </w:r>
          </w:p>
        </w:tc>
      </w:tr>
    </w:tbl>
    <w:p>
      <w:pPr>
        <w:spacing w:after="80" w:before="80"/>
      </w:pPr>
      <w:r>
        <w:t xml:space="preserve"/>
      </w:r>
    </w:p>
    <w:p>
      <w:pPr>
        <w:pStyle w:val="Heading2"/>
        <w:spacing w:after="160" w:before="300"/>
      </w:pPr>
      <w:r>
        <w:rPr>
          <w:rFonts w:ascii="Arial" w:cs="Arial" w:eastAsia="Arial" w:hAnsi="Arial"/>
          <w:b/>
          <w:bCs/>
          <w:color w:val="1F618D"/>
          <w:sz w:val="28"/>
          <w:szCs w:val="28"/>
        </w:rPr>
        <w:t xml:space="preserve">3.2 Ecran 2 — Consultation du Lignage</w:t>
      </w:r>
    </w:p>
    <w:p>
      <w:pPr>
        <w:spacing w:after="80" w:before="80"/>
      </w:pPr>
      <w:r>
        <w:t xml:space="preserve"/>
      </w:r>
    </w:p>
    <w:p>
      <w:pPr>
        <w:spacing w:after="120" w:before="200"/>
      </w:pPr>
      <w:r>
        <w:rPr>
          <w:rFonts w:ascii="Arial" w:cs="Arial" w:eastAsia="Arial" w:hAnsi="Arial"/>
          <w:b/>
          <w:bCs/>
          <w:color w:val="2874A6"/>
          <w:sz w:val="24"/>
          <w:szCs w:val="24"/>
        </w:rPr>
        <w:t xml:space="preserve">3.2.1 Description générale</w:t>
      </w:r>
    </w:p>
    <w:p>
      <w:pPr>
        <w:spacing w:after="80" w:before="80"/>
      </w:pPr>
      <w:r>
        <w:rPr>
          <w:rFonts w:ascii="Arial" w:cs="Arial" w:eastAsia="Arial" w:hAnsi="Arial"/>
          <w:sz w:val="22"/>
          <w:szCs w:val="22"/>
        </w:rPr>
        <w:t xml:space="preserve">L'écran de consultation affiche le lignage complet d'un noeud sélectionné. Il présente en haut un bandeau récapitulatif du noeud consulté et des critères de recherche, puis deux tableaux : les prédécesseurs (noeuds _input) et les successeurs (noeuds output).</w:t>
      </w:r>
    </w:p>
    <w:p>
      <w:pPr>
        <w:spacing w:after="80" w:before="80"/>
      </w:pPr>
      <w:r>
        <w:t xml:space="preserve"/>
      </w:r>
    </w:p>
    <w:p>
      <w:pPr>
        <w:spacing w:after="120" w:before="200"/>
      </w:pPr>
      <w:r>
        <w:rPr>
          <w:rFonts w:ascii="Arial" w:cs="Arial" w:eastAsia="Arial" w:hAnsi="Arial"/>
          <w:b/>
          <w:bCs/>
          <w:color w:val="2874A6"/>
          <w:sz w:val="24"/>
          <w:szCs w:val="24"/>
        </w:rPr>
        <w:t xml:space="preserve">3.2.2 Bandeau d'informations (en-tête)</w:t>
      </w:r>
    </w:p>
    <w:p>
      <w:pPr>
        <w:pStyle w:val="ListParagraph"/>
        <w:numPr>
          <w:ilvl w:val="0"/>
          <w:numId w:val="2"/>
        </w:numPr>
        <w:spacing w:after="60" w:before="60"/>
      </w:pPr>
      <w:r>
        <w:rPr>
          <w:rFonts w:ascii="Arial" w:cs="Arial" w:eastAsia="Arial" w:hAnsi="Arial"/>
          <w:sz w:val="22"/>
          <w:szCs w:val="22"/>
        </w:rPr>
        <w:t xml:space="preserve">Affichage du nom de la table, schéma, colonne et transformation du noeud consulté</w:t>
      </w:r>
    </w:p>
    <w:p>
      <w:pPr>
        <w:pStyle w:val="ListParagraph"/>
        <w:numPr>
          <w:ilvl w:val="0"/>
          <w:numId w:val="2"/>
        </w:numPr>
        <w:spacing w:after="60" w:before="60"/>
      </w:pPr>
      <w:r>
        <w:rPr>
          <w:rFonts w:ascii="Arial" w:cs="Arial" w:eastAsia="Arial" w:hAnsi="Arial"/>
          <w:sz w:val="22"/>
          <w:szCs w:val="22"/>
        </w:rPr>
        <w:t xml:space="preserve">Badge de type du noeud (i / T / o) mis en évidence</w:t>
      </w:r>
    </w:p>
    <w:p>
      <w:pPr>
        <w:pStyle w:val="ListParagraph"/>
        <w:numPr>
          <w:ilvl w:val="0"/>
          <w:numId w:val="2"/>
        </w:numPr>
        <w:spacing w:after="60" w:before="60"/>
      </w:pPr>
      <w:r>
        <w:rPr>
          <w:rFonts w:ascii="Arial" w:cs="Arial" w:eastAsia="Arial" w:hAnsi="Arial"/>
          <w:sz w:val="22"/>
          <w:szCs w:val="22"/>
        </w:rPr>
        <w:t xml:space="preserve">Rappel des critères de recherche initiaux</w:t>
      </w:r>
    </w:p>
    <w:p>
      <w:pPr>
        <w:pStyle w:val="ListParagraph"/>
        <w:numPr>
          <w:ilvl w:val="0"/>
          <w:numId w:val="2"/>
        </w:numPr>
        <w:spacing w:after="60" w:before="60"/>
      </w:pPr>
      <w:r>
        <w:rPr>
          <w:rFonts w:ascii="Arial" w:cs="Arial" w:eastAsia="Arial" w:hAnsi="Arial"/>
          <w:sz w:val="22"/>
          <w:szCs w:val="22"/>
        </w:rPr>
        <w:t xml:space="preserve">Schéma visuel du flux : _input (i) -&gt; [T] -&gt; output (o)</w:t>
      </w:r>
    </w:p>
    <w:p>
      <w:pPr>
        <w:spacing w:after="80" w:before="80"/>
      </w:pPr>
      <w:r>
        <w:t xml:space="preserve"/>
      </w:r>
    </w:p>
    <w:p>
      <w:pPr>
        <w:spacing w:after="120" w:before="200"/>
      </w:pPr>
      <w:r>
        <w:rPr>
          <w:rFonts w:ascii="Arial" w:cs="Arial" w:eastAsia="Arial" w:hAnsi="Arial"/>
          <w:b/>
          <w:bCs/>
          <w:color w:val="2874A6"/>
          <w:sz w:val="24"/>
          <w:szCs w:val="24"/>
        </w:rPr>
        <w:t xml:space="preserve">3.2.3 Tableau des Prédécesseurs</w:t>
      </w:r>
    </w:p>
    <w:p>
      <w:pPr>
        <w:spacing w:after="80" w:before="80"/>
      </w:pPr>
      <w:r>
        <w:rPr>
          <w:rFonts w:ascii="Arial" w:cs="Arial" w:eastAsia="Arial" w:hAnsi="Arial"/>
          <w:sz w:val="22"/>
          <w:szCs w:val="22"/>
        </w:rPr>
        <w:t xml:space="preserve">Affiche tous les noeuds de type _input (i) qui alimentent le noeud consulté. Les colonnes sont identiques au tableau de résultats de l'écran 1.</w:t>
      </w:r>
    </w:p>
    <w:p>
      <w:pPr>
        <w:spacing w:after="80" w:before="80"/>
      </w:pPr>
      <w:r>
        <w:t xml:space="preserve"/>
      </w:r>
    </w:p>
    <w:p>
      <w:pPr>
        <w:spacing w:after="120" w:before="200"/>
      </w:pPr>
      <w:r>
        <w:rPr>
          <w:rFonts w:ascii="Arial" w:cs="Arial" w:eastAsia="Arial" w:hAnsi="Arial"/>
          <w:b/>
          <w:bCs/>
          <w:color w:val="2874A6"/>
          <w:sz w:val="24"/>
          <w:szCs w:val="24"/>
        </w:rPr>
        <w:t xml:space="preserve">3.2.4 Tableau des Successeurs</w:t>
      </w:r>
    </w:p>
    <w:p>
      <w:pPr>
        <w:spacing w:after="80" w:before="80"/>
      </w:pPr>
      <w:r>
        <w:rPr>
          <w:rFonts w:ascii="Arial" w:cs="Arial" w:eastAsia="Arial" w:hAnsi="Arial"/>
          <w:sz w:val="22"/>
          <w:szCs w:val="22"/>
        </w:rPr>
        <w:t xml:space="preserve">Affiche tous les noeuds de type output (o) qui sont produits par le noeud consulté. Les colonnes sont identiques au tableau de résultats de l'écran 1.</w:t>
      </w:r>
    </w:p>
    <w:p>
      <w:pPr>
        <w:spacing w:after="80" w:before="80"/>
      </w:pPr>
      <w:r>
        <w:t xml:space="preserve"/>
      </w:r>
    </w:p>
    <w:p>
      <w:pPr>
        <w:spacing w:after="120" w:before="200"/>
      </w:pPr>
      <w:r>
        <w:rPr>
          <w:rFonts w:ascii="Arial" w:cs="Arial" w:eastAsia="Arial" w:hAnsi="Arial"/>
          <w:b/>
          <w:bCs/>
          <w:color w:val="2874A6"/>
          <w:sz w:val="24"/>
          <w:szCs w:val="24"/>
        </w:rPr>
        <w:t xml:space="preserve">3.2.5 Navigation</w:t>
      </w:r>
    </w:p>
    <w:p>
      <w:pPr>
        <w:pStyle w:val="ListParagraph"/>
        <w:numPr>
          <w:ilvl w:val="0"/>
          <w:numId w:val="2"/>
        </w:numPr>
        <w:spacing w:after="60" w:before="60"/>
      </w:pPr>
      <w:r>
        <w:rPr>
          <w:rFonts w:ascii="Arial" w:cs="Arial" w:eastAsia="Arial" w:hAnsi="Arial"/>
          <w:sz w:val="22"/>
          <w:szCs w:val="22"/>
        </w:rPr>
        <w:t xml:space="preserve">Bouton 'Retour à la recherche' en haut de l'écran</w:t>
      </w:r>
    </w:p>
    <w:p>
      <w:pPr>
        <w:pStyle w:val="ListParagraph"/>
        <w:numPr>
          <w:ilvl w:val="0"/>
          <w:numId w:val="2"/>
        </w:numPr>
        <w:spacing w:after="60" w:before="60"/>
      </w:pPr>
      <w:r>
        <w:rPr>
          <w:rFonts w:ascii="Arial" w:cs="Arial" w:eastAsia="Arial" w:hAnsi="Arial"/>
          <w:sz w:val="22"/>
          <w:szCs w:val="22"/>
        </w:rPr>
        <w:t xml:space="preserve">Fil d'Ariane : Recherche &gt; Lignage — [NOM TABLE]</w:t>
      </w:r>
    </w:p>
    <w:p>
      <w:pPr>
        <w:pStyle w:val="ListParagraph"/>
        <w:numPr>
          <w:ilvl w:val="0"/>
          <w:numId w:val="2"/>
        </w:numPr>
        <w:spacing w:after="60" w:before="60"/>
      </w:pPr>
      <w:r>
        <w:rPr>
          <w:rFonts w:ascii="Arial" w:cs="Arial" w:eastAsia="Arial" w:hAnsi="Arial"/>
          <w:sz w:val="22"/>
          <w:szCs w:val="22"/>
        </w:rPr>
        <w:t xml:space="preserve">(v2) Navigation récursive : clic sur un prédécesseur/successeur pour consulter son propre lignage</w:t>
      </w:r>
    </w:p>
    <w:p>
      <w:pPr>
        <w:spacing w:after="80" w:before="80"/>
      </w:pPr>
      <w:r>
        <w:t xml:space="preserve"/>
      </w:r>
    </w:p>
    <w:p>
      <w:r>
        <w:br w:type="page"/>
      </w:r>
    </w:p>
    <w:p>
      <w:pPr>
        <w:pStyle w:val="Heading1"/>
        <w:spacing w:after="200" w:before="400"/>
      </w:pPr>
      <w:r>
        <w:rPr>
          <w:rFonts w:ascii="Arial" w:cs="Arial" w:eastAsia="Arial" w:hAnsi="Arial"/>
          <w:b/>
          <w:bCs/>
          <w:color w:val="1A5276"/>
          <w:sz w:val="36"/>
          <w:szCs w:val="36"/>
        </w:rPr>
        <w:t xml:space="preserve">4. Architecture et API</w:t>
      </w:r>
    </w:p>
    <w:p>
      <w:pPr>
        <w:pStyle w:val="Heading2"/>
        <w:spacing w:after="160" w:before="300"/>
      </w:pPr>
      <w:r>
        <w:rPr>
          <w:rFonts w:ascii="Arial" w:cs="Arial" w:eastAsia="Arial" w:hAnsi="Arial"/>
          <w:b/>
          <w:bCs/>
          <w:color w:val="1F618D"/>
          <w:sz w:val="28"/>
          <w:szCs w:val="28"/>
        </w:rPr>
        <w:t xml:space="preserve">4.1 Endpoints API</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3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Paramètres</w:t>
            </w:r>
          </w:p>
        </w:tc>
        <w:tc>
          <w:tcPr>
            <w:tcW w:type="dxa" w:w="37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Réponse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GET /lineage/search</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table, column, schema, transformation (optionnels)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Array&lt;Node&gt; — liste des noeuds correspondants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GET /lineage/{id}</w:t>
            </w:r>
          </w:p>
        </w:tc>
        <w:tc>
          <w:tcPr>
            <w:tcW w:type="dxa" w:w="3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id : identifiant du noeud (path param)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node, predecessors: Node[], successors: Node[] }</w:t>
            </w:r>
          </w:p>
        </w:tc>
      </w:tr>
    </w:tbl>
    <w:p>
      <w:pPr>
        <w:spacing w:after="80" w:before="80"/>
      </w:pPr>
      <w:r>
        <w:t xml:space="preserve"/>
      </w:r>
    </w:p>
    <w:p>
      <w:pPr>
        <w:pStyle w:val="Heading2"/>
        <w:spacing w:after="160" w:before="300"/>
      </w:pPr>
      <w:r>
        <w:rPr>
          <w:rFonts w:ascii="Arial" w:cs="Arial" w:eastAsia="Arial" w:hAnsi="Arial"/>
          <w:b/>
          <w:bCs/>
          <w:color w:val="1F618D"/>
          <w:sz w:val="28"/>
          <w:szCs w:val="28"/>
        </w:rPr>
        <w:t xml:space="preserve">4.2 Structure de réponse — GET /lineage/{id}</w:t>
      </w:r>
    </w:p>
    <w:p>
      <w:pPr>
        <w:spacing w:after="80" w:before="80"/>
      </w:pPr>
      <w:r>
        <w:t xml:space="preserve"/>
      </w:r>
    </w:p>
    <w:p>
      <w:pPr>
        <w:spacing w:after="80" w:before="80"/>
      </w:pPr>
      <w:r>
        <w:rPr>
          <w:rFonts w:ascii="Courier New" w:cs="Courier New" w:eastAsia="Courier New" w:hAnsi="Courier New"/>
          <w:color w:val="1A5276"/>
          <w:sz w:val="18"/>
          <w:szCs w:val="18"/>
        </w:rPr>
        <w:t xml:space="preserve">{
  "node": { "id": "n4", "type": "T", "table": "AGG_REVENUE", ... },
  "predecessors": [
    { "id": "n1", "type": "i", "table": "CUSTOMERS", ... },
    { "id": "n2", "type": "i", "table": "ORDERS", ... }
  ],
  "successors": [
    { "id": "n6", "type": "o", "table": "RPT_DASHBOARD", ... }
  ]
}</w:t>
      </w:r>
    </w:p>
    <w:p>
      <w:pPr>
        <w:spacing w:after="80" w:before="80"/>
      </w:pPr>
      <w:r>
        <w:t xml:space="preserve"/>
      </w:r>
    </w:p>
    <w:p>
      <w:r>
        <w:br w:type="page"/>
      </w:r>
    </w:p>
    <w:p>
      <w:pPr>
        <w:pStyle w:val="Heading1"/>
        <w:spacing w:after="200" w:before="400"/>
      </w:pPr>
      <w:r>
        <w:rPr>
          <w:rFonts w:ascii="Arial" w:cs="Arial" w:eastAsia="Arial" w:hAnsi="Arial"/>
          <w:b/>
          <w:bCs/>
          <w:color w:val="1A5276"/>
          <w:sz w:val="36"/>
          <w:szCs w:val="36"/>
        </w:rPr>
        <w:t xml:space="preserve">5. Backlog Complet du Projet</w:t>
      </w:r>
    </w:p>
    <w:p>
      <w:pPr>
        <w:spacing w:after="80" w:before="80"/>
      </w:pPr>
      <w:r>
        <w:t xml:space="preserve"/>
      </w:r>
    </w:p>
    <w:p>
      <w:pPr>
        <w:pStyle w:val="Heading2"/>
        <w:spacing w:after="160" w:before="300"/>
      </w:pPr>
      <w:r>
        <w:rPr>
          <w:rFonts w:ascii="Arial" w:cs="Arial" w:eastAsia="Arial" w:hAnsi="Arial"/>
          <w:b/>
          <w:bCs/>
          <w:color w:val="1F618D"/>
          <w:sz w:val="28"/>
          <w:szCs w:val="28"/>
        </w:rPr>
        <w:t xml:space="preserve">Epic 1 — Modèle de données et API</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5160"/>
        <w:gridCol w:w="900"/>
        <w:gridCol w:w="1000"/>
      </w:tblGrid>
      <w:tr>
        <w:tc>
          <w:tcPr>
            <w:tcW w:type="dxa" w:w="9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1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Priorité</w:t>
            </w:r>
          </w:p>
        </w:tc>
        <w:tc>
          <w:tcPr>
            <w:tcW w:type="dxa" w:w="51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Story</w:t>
            </w:r>
          </w:p>
        </w:tc>
        <w:tc>
          <w:tcPr>
            <w:tcW w:type="dxa" w:w="9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Points</w:t>
            </w:r>
          </w:p>
        </w:tc>
        <w:tc>
          <w:tcPr>
            <w:tcW w:type="dxa" w:w="1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Sprint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US-01</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P0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 tant que dev, je modélise la table node avec ses champs (id, type, table, schema, column, transformation, database)</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3</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S1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US-02</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P0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 tant que dev, je modélise la table edge (source_id, target_id, type) et ses relations avec node</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2</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S1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US-03</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P0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 tant que dev, je crée l'endpoint GET /lineage/search avec filtres optionnels (table, column, schema, transformation)</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5</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S1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US-04</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P0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 tant que dev, je crée l'endpoint GET /lineage/{id} retournant le noeud, ses prédécesseurs et successeurs</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5</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S1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US-05</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D68910"/>
                <w:sz w:val="20"/>
                <w:szCs w:val="20"/>
              </w:rPr>
              <w:t xml:space="preserve">P1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 tant que dev, je charge un jeu de données de test (mock) représentatif du graphe de lignage</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2</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S1</w:t>
            </w:r>
          </w:p>
        </w:tc>
      </w:tr>
    </w:tbl>
    <w:p>
      <w:pPr>
        <w:spacing w:after="80" w:before="80"/>
      </w:pPr>
      <w:r>
        <w:t xml:space="preserve"/>
      </w:r>
    </w:p>
    <w:p>
      <w:pPr>
        <w:pStyle w:val="Heading2"/>
        <w:spacing w:after="160" w:before="300"/>
      </w:pPr>
      <w:r>
        <w:rPr>
          <w:rFonts w:ascii="Arial" w:cs="Arial" w:eastAsia="Arial" w:hAnsi="Arial"/>
          <w:b/>
          <w:bCs/>
          <w:color w:val="1F618D"/>
          <w:sz w:val="28"/>
          <w:szCs w:val="28"/>
        </w:rPr>
        <w:t xml:space="preserve">Epic 2 — Ecran Recherche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5160"/>
        <w:gridCol w:w="900"/>
        <w:gridCol w:w="1000"/>
      </w:tblGrid>
      <w:tr>
        <w:tc>
          <w:tcPr>
            <w:tcW w:type="dxa" w:w="9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1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Priorité</w:t>
            </w:r>
          </w:p>
        </w:tc>
        <w:tc>
          <w:tcPr>
            <w:tcW w:type="dxa" w:w="51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Story</w:t>
            </w:r>
          </w:p>
        </w:tc>
        <w:tc>
          <w:tcPr>
            <w:tcW w:type="dxa" w:w="9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Points</w:t>
            </w:r>
          </w:p>
        </w:tc>
        <w:tc>
          <w:tcPr>
            <w:tcW w:type="dxa" w:w="1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Sprint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US-06</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P0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 tant qu'utilisateur, je vois 4 champs de saisie : table, schéma, colonne, transformation</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2</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S2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US-07</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P0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 tant qu'utilisateur, je clique sur Rechercher (ou appuie sur Entrée) pour lancer la requête</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1</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S2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US-08</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P0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 tant qu'utilisateur, je vois les résultats dans un tableau avec colonnes : Type, Table, Schéma, Colonne, Transformation, Base</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5</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S2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US-09</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P0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 tant qu'utilisateur, je clique sur une ligne du tableau pour accéder à l'écran de consultation du lignage</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3</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S2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US-10</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D68910"/>
                <w:sz w:val="20"/>
                <w:szCs w:val="20"/>
              </w:rPr>
              <w:t xml:space="preserve">P1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 tant qu'utilisateur, je vois un message 'Aucun résultat trouvé' si la recherche ne retourne rien</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1</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S2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US-11</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D68910"/>
                <w:sz w:val="20"/>
                <w:szCs w:val="20"/>
              </w:rPr>
              <w:t xml:space="preserve">P1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 tant qu'utilisateur, je peux réinitialiser les filtres via un bouton dédié</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1</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S2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US-12</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D68910"/>
                <w:sz w:val="20"/>
                <w:szCs w:val="20"/>
              </w:rPr>
              <w:t xml:space="preserve">P1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 tant qu'utilisateur, je vois un indicateur de chargement pendant l'exécution de la recherche</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2</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S2</w:t>
            </w:r>
          </w:p>
        </w:tc>
      </w:tr>
    </w:tbl>
    <w:p>
      <w:pPr>
        <w:spacing w:after="80" w:before="80"/>
      </w:pPr>
      <w:r>
        <w:t xml:space="preserve"/>
      </w:r>
    </w:p>
    <w:p>
      <w:pPr>
        <w:pStyle w:val="Heading2"/>
        <w:spacing w:after="160" w:before="300"/>
      </w:pPr>
      <w:r>
        <w:rPr>
          <w:rFonts w:ascii="Arial" w:cs="Arial" w:eastAsia="Arial" w:hAnsi="Arial"/>
          <w:b/>
          <w:bCs/>
          <w:color w:val="1F618D"/>
          <w:sz w:val="28"/>
          <w:szCs w:val="28"/>
        </w:rPr>
        <w:t xml:space="preserve">Epic 3 — Ecran Consultation Lignage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5160"/>
        <w:gridCol w:w="900"/>
        <w:gridCol w:w="1000"/>
      </w:tblGrid>
      <w:tr>
        <w:tc>
          <w:tcPr>
            <w:tcW w:type="dxa" w:w="9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1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Priorité</w:t>
            </w:r>
          </w:p>
        </w:tc>
        <w:tc>
          <w:tcPr>
            <w:tcW w:type="dxa" w:w="51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Story</w:t>
            </w:r>
          </w:p>
        </w:tc>
        <w:tc>
          <w:tcPr>
            <w:tcW w:type="dxa" w:w="9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Points</w:t>
            </w:r>
          </w:p>
        </w:tc>
        <w:tc>
          <w:tcPr>
            <w:tcW w:type="dxa" w:w="1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Sprint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US-13</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P0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 tant qu'utilisateur, je vois en haut de page un bandeau rappelant les informations du noeud consulté (table, schéma, colonne, transformation, type)</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3</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S3</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US-14</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P0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 tant qu'utilisateur, je vois le tableau des prédécesseurs (noeuds _input) du noeud consulté</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5</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S3</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US-15</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P0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 tant qu'utilisateur, je vois le tableau des successeurs (noeuds output) du noeud consulté</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5</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S3</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US-16</w:t>
            </w:r>
          </w:p>
        </w:tc>
        <w:tc>
          <w:tcPr>
            <w:tcW w:type="dxa" w:w="14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C0392B"/>
                <w:sz w:val="20"/>
                <w:szCs w:val="20"/>
              </w:rPr>
              <w:t xml:space="preserve">P0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 tant qu'utilisateur, le type de chaque noeud (i / T / o) est mis en évidence par un badge coloré</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2</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S3</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US-17</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D68910"/>
                <w:sz w:val="20"/>
                <w:szCs w:val="20"/>
              </w:rPr>
              <w:t xml:space="preserve">P1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 tant qu'utilisateur, je peux revenir à l'écran de recherche via un bouton ou le fil d'Ariane</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1</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S3</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US-18</w:t>
            </w:r>
          </w:p>
        </w:tc>
        <w:tc>
          <w:tcPr>
            <w:tcW w:type="dxa" w:w="1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A5276"/>
                <w:sz w:val="20"/>
                <w:szCs w:val="20"/>
              </w:rPr>
              <w:t xml:space="preserve">P2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 tant qu'utilisateur, je peux cliquer sur un prédécesseur ou successeur pour naviguer vers son propre lignage (navigation récursive)</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8</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S4</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US-19</w:t>
            </w:r>
          </w:p>
        </w:tc>
        <w:tc>
          <w:tcPr>
            <w:tcW w:type="dxa" w:w="1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A5276"/>
                <w:sz w:val="20"/>
                <w:szCs w:val="20"/>
              </w:rPr>
              <w:t xml:space="preserve">P2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 tant qu'utilisateur, je peux visualiser le graphe de lignage sous forme d'arbre graphique (visualisation DAG)</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13</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S5</w:t>
            </w:r>
          </w:p>
        </w:tc>
      </w:tr>
    </w:tbl>
    <w:p>
      <w:pPr>
        <w:spacing w:after="80" w:before="80"/>
      </w:pPr>
      <w:r>
        <w:t xml:space="preserve"/>
      </w:r>
    </w:p>
    <w:p>
      <w:pPr>
        <w:pStyle w:val="Heading2"/>
        <w:spacing w:after="160" w:before="300"/>
      </w:pPr>
      <w:r>
        <w:rPr>
          <w:rFonts w:ascii="Arial" w:cs="Arial" w:eastAsia="Arial" w:hAnsi="Arial"/>
          <w:b/>
          <w:bCs/>
          <w:color w:val="1F618D"/>
          <w:sz w:val="28"/>
          <w:szCs w:val="28"/>
        </w:rPr>
        <w:t xml:space="preserve">Epic 4 — UX et Qualité</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5160"/>
        <w:gridCol w:w="900"/>
        <w:gridCol w:w="1000"/>
      </w:tblGrid>
      <w:tr>
        <w:tc>
          <w:tcPr>
            <w:tcW w:type="dxa" w:w="9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1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Priorité</w:t>
            </w:r>
          </w:p>
        </w:tc>
        <w:tc>
          <w:tcPr>
            <w:tcW w:type="dxa" w:w="51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Story</w:t>
            </w:r>
          </w:p>
        </w:tc>
        <w:tc>
          <w:tcPr>
            <w:tcW w:type="dxa" w:w="9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Points</w:t>
            </w:r>
          </w:p>
        </w:tc>
        <w:tc>
          <w:tcPr>
            <w:tcW w:type="dxa" w:w="1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Sprint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US-20</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D68910"/>
                <w:sz w:val="20"/>
                <w:szCs w:val="20"/>
              </w:rPr>
              <w:t xml:space="preserve">P1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 tant qu'utilisateur, je vois un message d'erreur clair si l'API est indisponible ou retourne une erreur</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2</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S3</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US-21</w:t>
            </w:r>
          </w:p>
        </w:tc>
        <w:tc>
          <w:tcPr>
            <w:tcW w:type="dxa" w:w="14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D68910"/>
                <w:sz w:val="20"/>
                <w:szCs w:val="20"/>
              </w:rPr>
              <w:t xml:space="preserve">P1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 tant qu'utilisateur, l'interface est lisible et utilisable sur desktop (résolution &gt;= 1280px)</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3</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S3</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US-22</w:t>
            </w:r>
          </w:p>
        </w:tc>
        <w:tc>
          <w:tcPr>
            <w:tcW w:type="dxa" w:w="1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A5276"/>
                <w:sz w:val="20"/>
                <w:szCs w:val="20"/>
              </w:rPr>
              <w:t xml:space="preserve">P2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 tant qu'utilisateur, je peux naviguer dans l'interface au clavier (tab, focus visible, accessibilité WCAG AA)</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5</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S4</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US-23</w:t>
            </w:r>
          </w:p>
        </w:tc>
        <w:tc>
          <w:tcPr>
            <w:tcW w:type="dxa" w:w="1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color w:val="1A5276"/>
                <w:sz w:val="20"/>
                <w:szCs w:val="20"/>
              </w:rPr>
              <w:t xml:space="preserve">P2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 tant que dev, j'ai des tests unitaires sur les composants de recherche et d'affichage du lignage</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8</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S4</w:t>
            </w:r>
          </w:p>
        </w:tc>
      </w:tr>
    </w:tbl>
    <w:p>
      <w:pPr>
        <w:spacing w:after="80" w:before="80"/>
      </w:pPr>
      <w:r>
        <w:t xml:space="preserve"/>
      </w:r>
    </w:p>
    <w:p>
      <w:r>
        <w:br w:type="page"/>
      </w:r>
    </w:p>
    <w:p>
      <w:pPr>
        <w:pStyle w:val="Heading1"/>
        <w:spacing w:after="200" w:before="400"/>
      </w:pPr>
      <w:r>
        <w:rPr>
          <w:rFonts w:ascii="Arial" w:cs="Arial" w:eastAsia="Arial" w:hAnsi="Arial"/>
          <w:b/>
          <w:bCs/>
          <w:color w:val="1A5276"/>
          <w:sz w:val="36"/>
          <w:szCs w:val="36"/>
        </w:rPr>
        <w:t xml:space="preserve">6. Planning et Roadmap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160"/>
        <w:gridCol w:w="1000"/>
        <w:gridCol w:w="1000"/>
      </w:tblGrid>
      <w:tr>
        <w:tc>
          <w:tcPr>
            <w:tcW w:type="dxa" w:w="12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Sprint</w:t>
            </w:r>
          </w:p>
        </w:tc>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Objectif</w:t>
            </w:r>
          </w:p>
        </w:tc>
        <w:tc>
          <w:tcPr>
            <w:tcW w:type="dxa" w:w="41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Stories</w:t>
            </w:r>
          </w:p>
        </w:tc>
        <w:tc>
          <w:tcPr>
            <w:tcW w:type="dxa" w:w="1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Points</w:t>
            </w:r>
          </w:p>
        </w:tc>
        <w:tc>
          <w:tcPr>
            <w:tcW w:type="dxa" w:w="1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Durée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Sprint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Fondations &amp; API</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US-01, US-02, US-03, US-04, US-05</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17</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2 sem.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Sprint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Ecran Recherche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US-06, US-07, US-08, US-09, US-10, US-11, US-12</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15</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2 sem.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Sprint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Ecran Lignage &amp; UX</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US-13, US-14, US-15, US-16, US-17, US-20, US-21</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19</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2 sem.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Sprint 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Navigation &amp; Qualité</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US-18, US-22, US-23</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21</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2 sem.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Sprint 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Visualisation graphe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US-19</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13</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A1A1A"/>
                <w:sz w:val="20"/>
                <w:szCs w:val="20"/>
              </w:rPr>
              <w:t xml:space="preserve">2 sem.</w:t>
            </w:r>
          </w:p>
        </w:tc>
      </w:tr>
      <w:tr>
        <w:tc>
          <w:tcPr>
            <w:tcW w:type="dxa" w:w="1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1A1A"/>
                <w:sz w:val="20"/>
                <w:szCs w:val="20"/>
              </w:rPr>
              <w:t xml:space="preserve">TOTAL</w:t>
            </w:r>
          </w:p>
        </w:tc>
        <w:tc>
          <w:tcPr>
            <w:tcW w:type="dxa" w:w="2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A1A1A"/>
                <w:sz w:val="20"/>
                <w:szCs w:val="20"/>
              </w:rPr>
              <w:t xml:space="preserve"/>
            </w:r>
          </w:p>
        </w:tc>
        <w:tc>
          <w:tcPr>
            <w:tcW w:type="dxa" w:w="4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1A1A"/>
                <w:sz w:val="20"/>
                <w:szCs w:val="20"/>
              </w:rPr>
              <w:t xml:space="preserve">23 user stories</w:t>
            </w:r>
          </w:p>
        </w:tc>
        <w:tc>
          <w:tcPr>
            <w:tcW w:type="dxa" w:w="1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1A1A"/>
                <w:sz w:val="20"/>
                <w:szCs w:val="20"/>
              </w:rPr>
              <w:t xml:space="preserve">85</w:t>
            </w:r>
          </w:p>
        </w:tc>
        <w:tc>
          <w:tcPr>
            <w:tcW w:type="dxa" w:w="1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1A1A"/>
                <w:sz w:val="20"/>
                <w:szCs w:val="20"/>
              </w:rPr>
              <w:t xml:space="preserve">10 sem.</w:t>
            </w:r>
          </w:p>
        </w:tc>
      </w:tr>
    </w:tbl>
    <w:p>
      <w:pPr>
        <w:spacing w:after="80" w:before="80"/>
      </w:pPr>
      <w:r>
        <w:t xml:space="preserve"/>
      </w:r>
    </w:p>
    <w:p>
      <w:pPr>
        <w:pStyle w:val="Heading1"/>
        <w:spacing w:after="200" w:before="400"/>
      </w:pPr>
      <w:r>
        <w:rPr>
          <w:rFonts w:ascii="Arial" w:cs="Arial" w:eastAsia="Arial" w:hAnsi="Arial"/>
          <w:b/>
          <w:bCs/>
          <w:color w:val="1A5276"/>
          <w:sz w:val="36"/>
          <w:szCs w:val="36"/>
        </w:rPr>
        <w:t xml:space="preserve">7. Glossaire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Terme</w:t>
            </w:r>
          </w:p>
        </w:tc>
        <w:tc>
          <w:tcPr>
            <w:tcW w:type="dxa" w:w="6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Définition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Lignage (Lineage)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Traçabilité du flux de données entre systèmes sources et cibles, via des transformations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Noeud (Node)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Entité du graphe représentant une table/colonne dans un rôle donné (input, transformation ou output)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Arête (Edge)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Relation directionnelle entre deux noeuds représentant le flux de données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Prédécesseur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Noeud de type _input (i) qui alimente un noeud de transformation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Successeur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Noeud de type output (o) produit par un noeud de transformation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DAG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Directed Acyclic Graph — graphe orienté sans cycle, structure typique d'un graphe de lignage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DWH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Data Warehouse — entrepôt de données centralisant les données de l'entreprise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KPI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Key Performance Indicator — indicateur clé de performance exposé dans les rapports</w:t>
            </w:r>
          </w:p>
        </w:tc>
      </w:tr>
    </w:tbl>
    <w:p>
      <w:pPr>
        <w:spacing w:after="80" w:before="80"/>
      </w:pPr>
      <w:r>
        <w:t xml:space="preserve"/>
      </w:r>
    </w:p>
    <w:p>
      <w:pPr>
        <w:pBdr>
          <w:top w:val="single" w:color="BDC3C7" w:sz="4" w:space="1"/>
        </w:pBdr>
        <w:spacing w:before="600"/>
      </w:pPr>
      <w:r>
        <w:rPr>
          <w:rFonts w:ascii="Arial" w:cs="Arial" w:eastAsia="Arial" w:hAnsi="Arial"/>
          <w:i/>
          <w:iCs/>
          <w:color w:val="95A5A6"/>
          <w:sz w:val="18"/>
          <w:szCs w:val="18"/>
        </w:rPr>
        <w:t xml:space="preserve">Document généré — Projet Data Lineage Visualization v1.0 — Avril 2026</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5276"/>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F618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2026-04-15T12:12:23.317Z</dcterms:created>
  <dcterms:modified xsi:type="dcterms:W3CDTF">2026-04-15T12:12:23.318Z</dcterms:modified>
</cp:coreProperties>
</file>

<file path=docProps/custom.xml><?xml version="1.0" encoding="utf-8"?>
<Properties xmlns="http://schemas.openxmlformats.org/officeDocument/2006/custom-properties" xmlns:vt="http://schemas.openxmlformats.org/officeDocument/2006/docPropsVTypes"/>
</file>