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y323ssdq4xg6" w:id="0"/>
      <w:bookmarkEnd w:id="0"/>
      <w:r w:rsidDel="00000000" w:rsidR="00000000" w:rsidRPr="00000000">
        <w:rPr>
          <w:rtl w:val="0"/>
        </w:rPr>
        <w:t xml:space="preserve">What Hedge Funds Actually Buy — and a Realistic Path for NowTrendIn</w:t>
      </w:r>
    </w:p>
    <w:p w:rsidR="00000000" w:rsidDel="00000000" w:rsidP="00000000" w:rsidRDefault="00000000" w:rsidRPr="00000000" w14:paraId="00000002">
      <w:pPr>
        <w:rPr/>
      </w:pPr>
      <w:r w:rsidDel="00000000" w:rsidR="00000000" w:rsidRPr="00000000">
        <w:rPr>
          <w:b w:val="1"/>
          <w:bCs w:val="1"/>
          <w:rtl w:val="0"/>
        </w:rPr>
        <w:t xml:space="preserve">Prepared:</w:t>
      </w:r>
      <w:r w:rsidDel="00000000" w:rsidR="00000000" w:rsidRPr="00000000">
        <w:rPr>
          <w:rtl w:val="0"/>
        </w:rPr>
        <w:t xml:space="preserve"> 2026-08-09 · Companion to the Griffin seat and the Two Poles study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5fj91yxk0276" w:id="1"/>
      <w:bookmarkEnd w:id="1"/>
      <w:r w:rsidDel="00000000" w:rsidR="00000000" w:rsidRPr="00000000">
        <w:rPr>
          <w:rtl w:val="0"/>
        </w:rPr>
        <w:t xml:space="preserve">Part 0 — What the Rich List does and does not tell us</w:t>
      </w:r>
    </w:p>
    <w:p w:rsidR="00000000" w:rsidDel="00000000" w:rsidP="00000000" w:rsidRDefault="00000000" w:rsidRPr="00000000" w14:paraId="00000006">
      <w:pPr>
        <w:rPr/>
      </w:pPr>
      <w:r w:rsidDel="00000000" w:rsidR="00000000" w:rsidRPr="00000000">
        <w:rPr>
          <w:rtl w:val="0"/>
        </w:rPr>
        <w:t xml:space="preserve">The article is </w:t>
      </w:r>
      <w:r w:rsidDel="00000000" w:rsidR="00000000" w:rsidRPr="00000000">
        <w:rPr>
          <w:b w:val="1"/>
          <w:bCs w:val="1"/>
          <w:rtl w:val="0"/>
        </w:rPr>
        <w:t xml:space="preserve">Institutional Investor's 25th annual Rich List: a ranking of manager compensation for 2025.</w:t>
      </w:r>
      <w:r w:rsidDel="00000000" w:rsidR="00000000" w:rsidRPr="00000000">
        <w:rPr>
          <w:rtl w:val="0"/>
        </w:rPr>
        <w:t xml:space="preserve"> Top 25 earned $36.65B; the entry bar was a record $470M.</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b w:val="1"/>
                <w:bCs w:val="1"/>
              </w:rPr>
            </w:pPr>
            <w:r w:rsidDel="00000000" w:rsidR="00000000" w:rsidRPr="00000000">
              <w:rPr>
                <w:b w:val="1"/>
                <w:bCs w:val="1"/>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b w:val="1"/>
                <w:bCs w:val="1"/>
              </w:rPr>
            </w:pPr>
            <w:r w:rsidDel="00000000" w:rsidR="00000000" w:rsidRPr="00000000">
              <w:rPr>
                <w:b w:val="1"/>
                <w:bCs w:val="1"/>
                <w:rtl w:val="0"/>
              </w:rPr>
              <w:t xml:space="preserve">Firm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b w:val="1"/>
                <w:bCs w:val="1"/>
              </w:rPr>
            </w:pPr>
            <w:r w:rsidDel="00000000" w:rsidR="00000000" w:rsidRPr="00000000">
              <w:rPr>
                <w:b w:val="1"/>
                <w:bCs w:val="1"/>
                <w:rtl w:val="0"/>
              </w:rPr>
              <w:t xml:space="preserve">2025 earnings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Chris Hohn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TCI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$4.9B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Steven Cohen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Point72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$4.0B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Izzy Englander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Millennium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$3.5B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David Tepper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Appaloosa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$3.3B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Ken Griffin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Citadel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$2.4B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David Shaw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D.E. Shaw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$2.0B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Philippe Laffont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Coatue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$1.8B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Chris Rokos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Rokos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$1.4B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Dan Sundheim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D1 Capital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$1.4B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Bill Ackman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Pershing Square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$1.1B</w:t>
            </w:r>
          </w:p>
        </w:tc>
      </w:tr>
    </w:tbl>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It is a </w:t>
      </w:r>
      <w:r w:rsidDel="00000000" w:rsidR="00000000" w:rsidRPr="00000000">
        <w:rPr>
          <w:b w:val="1"/>
          <w:bCs w:val="1"/>
          <w:rtl w:val="0"/>
        </w:rPr>
        <w:t xml:space="preserve">pay ranking, not a statement of data needs</w:t>
      </w:r>
      <w:r w:rsidDel="00000000" w:rsidR="00000000" w:rsidRPr="00000000">
        <w:rPr>
          <w:rtl w:val="0"/>
        </w:rPr>
        <w:t xml:space="preserve"> — it cannot answer "what do hedge funds seek in data." Note also that </w:t>
      </w:r>
      <w:r w:rsidDel="00000000" w:rsidR="00000000" w:rsidRPr="00000000">
        <w:rPr>
          <w:b w:val="1"/>
          <w:bCs w:val="1"/>
          <w:rtl w:val="0"/>
        </w:rPr>
        <w:t xml:space="preserve">nine of the top earners underperformed the S&amp;P 500 in 2025</w:t>
      </w:r>
      <w:r w:rsidDel="00000000" w:rsidR="00000000" w:rsidRPr="00000000">
        <w:rPr>
          <w:rtl w:val="0"/>
        </w:rPr>
        <w:t xml:space="preserve">, which is worth remembering before treating this list as a list of oracles.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Its real use is as a </w:t>
      </w:r>
      <w:r w:rsidDel="00000000" w:rsidR="00000000" w:rsidRPr="00000000">
        <w:rPr>
          <w:b w:val="1"/>
          <w:bCs w:val="1"/>
          <w:rtl w:val="0"/>
        </w:rPr>
        <w:t xml:space="preserve">buyer map</w:t>
      </w:r>
      <w:r w:rsidDel="00000000" w:rsidR="00000000" w:rsidRPr="00000000">
        <w:rPr>
          <w:rtl w:val="0"/>
        </w:rPr>
        <w:t xml:space="preserve">, and read that way it delivers an uncomfortable result.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rPr/>
      </w:pPr>
      <w:bookmarkStart w:colFirst="0" w:colLast="0" w:name="_otlisk8l2nex" w:id="2"/>
      <w:bookmarkEnd w:id="2"/>
      <w:r w:rsidDel="00000000" w:rsidR="00000000" w:rsidRPr="00000000">
        <w:rPr>
          <w:rtl w:val="0"/>
        </w:rPr>
        <w:t xml:space="preserve">Part 1 — Only four of the ten are addressable. The #1 name is the least addressable.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b w:val="1"/>
                <w:bCs w:val="1"/>
              </w:rPr>
            </w:pPr>
            <w:r w:rsidDel="00000000" w:rsidR="00000000" w:rsidRPr="00000000">
              <w:rPr>
                <w:b w:val="1"/>
                <w:bCs w:val="1"/>
                <w:rtl w:val="0"/>
              </w:rPr>
              <w:t xml:space="preserve">Firm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b w:val="1"/>
                <w:bCs w:val="1"/>
              </w:rPr>
            </w:pPr>
            <w:r w:rsidDel="00000000" w:rsidR="00000000" w:rsidRPr="00000000">
              <w:rPr>
                <w:b w:val="1"/>
                <w:bCs w:val="1"/>
                <w:rtl w:val="0"/>
              </w:rPr>
              <w:t xml:space="preserve">Positions (13F Q1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b w:val="1"/>
                <w:bCs w:val="1"/>
              </w:rPr>
            </w:pPr>
            <w:r w:rsidDel="00000000" w:rsidR="00000000" w:rsidRPr="00000000">
              <w:rPr>
                <w:b w:val="1"/>
                <w:bCs w:val="1"/>
                <w:rtl w:val="0"/>
              </w:rPr>
              <w:t xml:space="preserve">Alt-data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b w:val="1"/>
                <w:bCs w:val="1"/>
              </w:rPr>
            </w:pPr>
            <w:r w:rsidDel="00000000" w:rsidR="00000000" w:rsidRPr="00000000">
              <w:rPr>
                <w:b w:val="1"/>
                <w:bCs w:val="1"/>
                <w:rtl w:val="0"/>
              </w:rPr>
              <w:t xml:space="preserve">Verdict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b w:val="1"/>
                <w:bCs w:val="1"/>
                <w:rtl w:val="0"/>
              </w:rPr>
              <w:t xml:space="preserve">Citadel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b w:val="1"/>
                <w:bCs w:val="1"/>
                <w:rtl w:val="0"/>
              </w:rPr>
              <w:t xml:space="preserve">6,733</w:t>
            </w:r>
            <w:r w:rsidDel="00000000" w:rsidR="00000000" w:rsidRPr="00000000">
              <w:rPr>
                <w:rtl w:val="0"/>
              </w:rPr>
              <w:t xml:space="preserve">, $619B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b w:val="1"/>
                <w:bCs w:val="1"/>
                <w:rtl w:val="0"/>
              </w:rPr>
              <w:t xml:space="preserve">Data Strategies Group</w:t>
            </w:r>
            <w:r w:rsidDel="00000000" w:rsidR="00000000" w:rsidRPr="00000000">
              <w:rPr>
                <w:rtl w:val="0"/>
              </w:rPr>
              <w:t xml:space="preserve"> — central quant research team serving both quant and fundamental sides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b w:val="1"/>
                <w:bCs w:val="1"/>
                <w:rtl w:val="0"/>
              </w:rPr>
              <w:t xml:space="preserve">Addressable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b w:val="1"/>
                <w:bCs w:val="1"/>
                <w:rtl w:val="0"/>
              </w:rPr>
              <w:t xml:space="preserve">Millennium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b w:val="1"/>
                <w:bCs w:val="1"/>
                <w:rtl w:val="0"/>
              </w:rPr>
              <w:t xml:space="preserve">4,153</w:t>
            </w:r>
            <w:r w:rsidDel="00000000" w:rsidR="00000000" w:rsidRPr="00000000">
              <w:rPr>
                <w:rtl w:val="0"/>
              </w:rPr>
              <w:t xml:space="preserve">, $257B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b w:val="1"/>
                <w:bCs w:val="1"/>
                <w:rtl w:val="0"/>
              </w:rPr>
              <w:t xml:space="preserve">2,000+ datasets from ~400 providers</w:t>
            </w:r>
            <w:r w:rsidDel="00000000" w:rsidR="00000000" w:rsidRPr="00000000">
              <w:rPr>
                <w:rtl w:val="0"/>
              </w:rPr>
              <w:t xml:space="preserve">, ~10 trillion records (Feb 2020 figure)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b w:val="1"/>
                <w:bCs w:val="1"/>
                <w:rtl w:val="0"/>
              </w:rPr>
              <w:t xml:space="preserve">Addressable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b w:val="1"/>
                <w:bCs w:val="1"/>
                <w:rtl w:val="0"/>
              </w:rPr>
              <w:t xml:space="preserve">D.E. Shaw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b w:val="1"/>
                <w:bCs w:val="1"/>
                <w:rtl w:val="0"/>
              </w:rPr>
              <w:t xml:space="preserve">4,470</w:t>
            </w:r>
            <w:r w:rsidDel="00000000" w:rsidR="00000000" w:rsidRPr="00000000">
              <w:rPr>
                <w:rtl w:val="0"/>
              </w:rPr>
              <w:t xml:space="preserve">, $166B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Standing </w:t>
            </w:r>
            <w:r w:rsidDel="00000000" w:rsidR="00000000" w:rsidRPr="00000000">
              <w:rPr>
                <w:i w:val="1"/>
                <w:iCs w:val="1"/>
                <w:rtl w:val="0"/>
              </w:rPr>
              <w:t xml:space="preserve">Alternative Data Analyst</w:t>
            </w:r>
            <w:r w:rsidDel="00000000" w:rsidR="00000000" w:rsidRPr="00000000">
              <w:rPr>
                <w:rtl w:val="0"/>
              </w:rPr>
              <w:t xml:space="preserve"> role; </w:t>
            </w:r>
            <w:r w:rsidDel="00000000" w:rsidR="00000000" w:rsidRPr="00000000">
              <w:rPr>
                <w:b w:val="1"/>
                <w:bCs w:val="1"/>
                <w:rtl w:val="0"/>
              </w:rPr>
              <w:t xml:space="preserve">Firmwide Market Data Lead</w:t>
            </w:r>
            <w:r w:rsidDel="00000000" w:rsidR="00000000" w:rsidRPr="00000000">
              <w:rPr>
                <w:rtl w:val="0"/>
              </w:rPr>
              <w:t xml:space="preserve"> owns vendor contracts, onboarding,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b w:val="1"/>
                <w:bCs w:val="1"/>
                <w:rtl w:val="0"/>
              </w:rPr>
              <w:t xml:space="preserve">Addressable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b w:val="1"/>
                <w:bCs w:val="1"/>
                <w:rtl w:val="0"/>
              </w:rPr>
              <w:t xml:space="preserve">Point72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b w:val="1"/>
                <w:bCs w:val="1"/>
                <w:rtl w:val="0"/>
              </w:rPr>
              <w:t xml:space="preserve">3,704</w:t>
            </w:r>
            <w:r w:rsidDel="00000000" w:rsidR="00000000" w:rsidRPr="00000000">
              <w:rPr>
                <w:rtl w:val="0"/>
              </w:rPr>
              <w:t xml:space="preserve">, $78B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b w:val="1"/>
                <w:bCs w:val="1"/>
                <w:rtl w:val="0"/>
              </w:rPr>
              <w:t xml:space="preserve">Market Intelligence</w:t>
            </w:r>
            <w:r w:rsidDel="00000000" w:rsidR="00000000" w:rsidRPr="00000000">
              <w:rPr>
                <w:rtl w:val="0"/>
              </w:rPr>
              <w:t xml:space="preserve"> division with a named </w:t>
            </w:r>
            <w:r w:rsidDel="00000000" w:rsidR="00000000" w:rsidRPr="00000000">
              <w:rPr>
                <w:i w:val="1"/>
                <w:iCs w:val="1"/>
                <w:rtl w:val="0"/>
              </w:rPr>
              <w:t xml:space="preserve">Data Sourcing and Strategy</w:t>
            </w:r>
            <w:r w:rsidDel="00000000" w:rsidR="00000000" w:rsidRPr="00000000">
              <w:rPr>
                <w:rtl w:val="0"/>
              </w:rPr>
              <w:t xml:space="preserve">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b w:val="1"/>
                <w:bCs w:val="1"/>
                <w:rtl w:val="0"/>
              </w:rPr>
              <w:t xml:space="preserve">Addressable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Coatue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62 holdings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Systematic quant fund; 30+ data scientists/engineers, target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Possible — narrow universe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Rokos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n/a (macro)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No data function named on careers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Poor fit — rates/FX book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b w:val="1"/>
                <w:bCs w:val="1"/>
                <w:rtl w:val="0"/>
              </w:rPr>
              <w:t xml:space="preserve">TCI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b w:val="1"/>
                <w:bCs w:val="1"/>
                <w:rtl w:val="0"/>
              </w:rPr>
              <w:t xml:space="preserve">10 positions</w:t>
            </w:r>
            <w:r w:rsidDel="00000000" w:rsidR="00000000" w:rsidRPr="00000000">
              <w:rPr>
                <w:rtl w:val="0"/>
              </w:rPr>
              <w:t xml:space="preserve">, top five 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b w:val="1"/>
                <w:bCs w:val="1"/>
                <w:rtl w:val="0"/>
              </w:rPr>
              <w:t xml:space="preserve">None found.</w:t>
            </w:r>
            <w:r w:rsidDel="00000000" w:rsidR="00000000" w:rsidRPr="00000000">
              <w:rPr>
                <w:rtl w:val="0"/>
              </w:rPr>
              <w:t xml:space="preserve"> Forbes: "old-fashioned stock picking… rather than quantitative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b w:val="1"/>
                <w:bCs w:val="1"/>
                <w:rtl w:val="0"/>
              </w:rPr>
              <w:t xml:space="preserve">Not addressable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Appaloosa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31 holdings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None found; family office since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Not addressable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D1 Capital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44 holdings; majority in privates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Nothing verifiable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Not addressable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b w:val="1"/>
                <w:bCs w:val="1"/>
                <w:rtl w:val="0"/>
              </w:rPr>
              <w:t xml:space="preserve">Pershing Square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b w:val="1"/>
                <w:bCs w:val="1"/>
                <w:rtl w:val="0"/>
              </w:rPr>
              <w:t xml:space="preserve">11 positions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S-1 lists </w:t>
            </w:r>
            <w:r w:rsidDel="00000000" w:rsidR="00000000" w:rsidRPr="00000000">
              <w:rPr>
                <w:b w:val="1"/>
                <w:bCs w:val="1"/>
                <w:rtl w:val="0"/>
              </w:rPr>
              <w:t xml:space="preserve">9 investment professionals</w:t>
            </w:r>
            <w:r w:rsidDel="00000000" w:rsidR="00000000" w:rsidRPr="00000000">
              <w:rPr>
                <w:rtl w:val="0"/>
              </w:rPr>
              <w:t xml:space="preserve">, two-person diligence teams, </w:t>
            </w:r>
            <w:r w:rsidDel="00000000" w:rsidR="00000000" w:rsidRPr="00000000">
              <w:rPr>
                <w:b w:val="1"/>
                <w:bCs w:val="1"/>
                <w:rtl w:val="0"/>
              </w:rPr>
              <w:t xml:space="preserve">no data vendors named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b w:val="1"/>
                <w:bCs w:val="1"/>
                <w:rtl w:val="0"/>
              </w:rPr>
              <w:t xml:space="preserve">Not addressable</w:t>
            </w:r>
            <w:r w:rsidDel="00000000" w:rsidR="00000000" w:rsidRPr="00000000">
              <w:rPr>
                <w:rtl w:val="0"/>
              </w:rPr>
            </w:r>
          </w:p>
        </w:tc>
      </w:tr>
    </w:tbl>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Two findings worth sitting with.</w:t>
      </w:r>
      <w:r w:rsidDel="00000000" w:rsidR="00000000" w:rsidRPr="00000000">
        <w:rPr>
          <w:rtl w:val="0"/>
        </w:rPr>
        <w:t xml:space="preserve"> First, the #1 earner — Chris Hohn, whom we studied at length this week — holds ten names and is the single worst economic case for a broad attention dataset. Second, </w:t>
      </w:r>
      <w:r w:rsidDel="00000000" w:rsidR="00000000" w:rsidRPr="00000000">
        <w:rPr>
          <w:b w:val="1"/>
          <w:bCs w:val="1"/>
          <w:rtl w:val="0"/>
        </w:rPr>
        <w:t xml:space="preserve">Ken Griffin himself has publicly downplayed the category</w:t>
      </w:r>
      <w:r w:rsidDel="00000000" w:rsidR="00000000" w:rsidRPr="00000000">
        <w:rPr>
          <w:rtl w:val="0"/>
        </w:rPr>
        <w:t xml:space="preserve">: </w:t>
      </w:r>
      <w:r w:rsidDel="00000000" w:rsidR="00000000" w:rsidRPr="00000000">
        <w:rPr>
          <w:i w:val="1"/>
          <w:iCs w:val="1"/>
          <w:rtl w:val="0"/>
        </w:rPr>
        <w:t xml:space="preserve">"It was all the rage that alternative data was going to transform the industry. And it's had a modest impact, which was, frankly, our prior back then."</w:t>
      </w:r>
      <w:r w:rsidDel="00000000" w:rsidR="00000000" w:rsidRPr="00000000">
        <w:rPr>
          <w:rtl w:val="0"/>
        </w:rPr>
        <w:t xml:space="preserve"> (June 2023, via a secondary source — I could not reach the original video.) The man whose seat we just built on this board is a public skeptic of the product category we would be selling him.</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rPr/>
      </w:pPr>
      <w:bookmarkStart w:colFirst="0" w:colLast="0" w:name="_z8ndng3b3pv3" w:id="3"/>
      <w:bookmarkEnd w:id="3"/>
      <w:r w:rsidDel="00000000" w:rsidR="00000000" w:rsidRPr="00000000">
        <w:rPr>
          <w:rtl w:val="0"/>
        </w:rPr>
        <w:t xml:space="preserve">Part 2 — What buyers actually check, in order</w:t>
      </w:r>
    </w:p>
    <w:p w:rsidR="00000000" w:rsidDel="00000000" w:rsidP="00000000" w:rsidRDefault="00000000" w:rsidRPr="00000000" w14:paraId="0000006C">
      <w:pPr>
        <w:rPr/>
      </w:pPr>
      <w:r w:rsidDel="00000000" w:rsidR="00000000" w:rsidRPr="00000000">
        <w:rPr>
          <w:rtl w:val="0"/>
        </w:rPr>
        <w:t xml:space="preserve">This is the real answer to "what do they seek." It is largely </w:t>
      </w:r>
      <w:r w:rsidDel="00000000" w:rsidR="00000000" w:rsidRPr="00000000">
        <w:rPr>
          <w:b w:val="1"/>
          <w:bCs w:val="1"/>
          <w:rtl w:val="0"/>
        </w:rPr>
        <w:t xml:space="preserve">specified for free</w:t>
      </w:r>
      <w:r w:rsidDel="00000000" w:rsidR="00000000" w:rsidRPr="00000000">
        <w:rPr>
          <w:rtl w:val="0"/>
        </w:rPr>
        <w:t xml:space="preserve"> by the </w:t>
      </w:r>
      <w:r w:rsidDel="00000000" w:rsidR="00000000" w:rsidRPr="00000000">
        <w:rPr>
          <w:b w:val="1"/>
          <w:bCs w:val="1"/>
          <w:rtl w:val="0"/>
        </w:rPr>
        <w:t xml:space="preserve">FISD Alternative Data Council</w:t>
      </w:r>
      <w:r w:rsidDel="00000000" w:rsidR="00000000" w:rsidRPr="00000000">
        <w:rPr>
          <w:rtl w:val="0"/>
        </w:rPr>
        <w:t xml:space="preserve"> (a buy-side-led body inside SIIA, active and publishing; its DDQ, tear sheets and five Learning Points are public, some on GitHub).</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ind w:left="600" w:right="600" w:firstLine="0"/>
        <w:rPr/>
      </w:pPr>
      <w:r w:rsidDel="00000000" w:rsidR="00000000" w:rsidRPr="00000000">
        <w:rPr>
          <w:rtl w:val="0"/>
        </w:rPr>
        <w:t xml:space="preserve">⚠️ </w:t>
      </w:r>
      <w:r w:rsidDel="00000000" w:rsidR="00000000" w:rsidRPr="00000000">
        <w:rPr>
          <w:b w:val="1"/>
          <w:bCs w:val="1"/>
          <w:rtl w:val="0"/>
        </w:rPr>
        <w:t xml:space="preserve">Do not cite IDSO.</w:t>
      </w:r>
      <w:r w:rsidDel="00000000" w:rsidR="00000000" w:rsidRPr="00000000">
        <w:rPr>
          <w:rtl w:val="0"/>
        </w:rPr>
        <w:t xml:space="preserve"> It was a real standards body in 2018–19 but appears dormant — </w:t>
      </w:r>
      <w:r w:rsidDel="00000000" w:rsidR="00000000" w:rsidRPr="00000000">
        <w:rPr>
          <w:rFonts w:ascii="Roboto Mono" w:cs="Roboto Mono" w:eastAsia="Roboto Mono" w:hAnsi="Roboto Mono"/>
          <w:color w:val="188038"/>
          <w:rtl w:val="0"/>
        </w:rPr>
        <w:t xml:space="preserve">idso.org</w:t>
      </w:r>
      <w:r w:rsidDel="00000000" w:rsidR="00000000" w:rsidRPr="00000000">
        <w:rPr>
          <w:rtl w:val="0"/>
        </w:rPr>
        <w:t xml:space="preserve"> now redirects to an unrelated organisation. Cite FISD.</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rtl w:val="0"/>
        </w:rPr>
        <w:t xml:space="preserve">1 · Point-in-time integrity.</w:t>
      </w:r>
      <w:r w:rsidDel="00000000" w:rsidR="00000000" w:rsidRPr="00000000">
        <w:rPr>
          <w:rtl w:val="0"/>
        </w:rPr>
        <w:t xml:space="preserve"> FISD's definition: data must "reflect, at each Point-In-Time, what was known and when it was known." Look-ahead bias is "using data that was not yet known on the date being analyzed." Survivorship bias is a universe that "only represents the present." </w:t>
      </w:r>
      <w:r w:rsidDel="00000000" w:rsidR="00000000" w:rsidRPr="00000000">
        <w:rPr>
          <w:b w:val="1"/>
          <w:bCs w:val="1"/>
          <w:rtl w:val="0"/>
        </w:rPr>
        <w:t xml:space="preserve">There is no published minimum number of years.</w:t>
      </w:r>
      <w:r w:rsidDel="00000000" w:rsidR="00000000" w:rsidRPr="00000000">
        <w:rPr>
          <w:rtl w:val="0"/>
        </w:rPr>
        <w:t xml:space="preserve"> The closest thing to a threshold is J.P. Morgan's guidance that under ~</w:t>
      </w:r>
      <w:r w:rsidDel="00000000" w:rsidR="00000000" w:rsidRPr="00000000">
        <w:rPr>
          <w:b w:val="1"/>
          <w:bCs w:val="1"/>
          <w:rtl w:val="0"/>
        </w:rPr>
        <w:t xml:space="preserve">50 observations</w:t>
      </w:r>
      <w:r w:rsidDel="00000000" w:rsidR="00000000" w:rsidRPr="00000000">
        <w:rPr>
          <w:rtl w:val="0"/>
        </w:rPr>
        <w:t xml:space="preserve"> is "typically less useful," and the contractual default in the </w:t>
      </w:r>
      <w:r w:rsidDel="00000000" w:rsidR="00000000" w:rsidRPr="00000000">
        <w:rPr>
          <w:b w:val="1"/>
          <w:bCs w:val="1"/>
          <w:rtl w:val="0"/>
        </w:rPr>
        <w:t xml:space="preserve">SBAI Standardised Trial Data License Agreement</w:t>
      </w:r>
      <w:r w:rsidDel="00000000" w:rsidR="00000000" w:rsidRPr="00000000">
        <w:rPr>
          <w:rtl w:val="0"/>
        </w:rPr>
        <w:t xml:space="preserve">, which is </w:t>
      </w:r>
      <w:r w:rsidDel="00000000" w:rsidR="00000000" w:rsidRPr="00000000">
        <w:rPr>
          <w:i w:val="1"/>
          <w:iCs w:val="1"/>
          <w:rtl w:val="0"/>
        </w:rPr>
        <w:t xml:space="preserve">"full available history"</w:t>
      </w:r>
      <w:r w:rsidDel="00000000" w:rsidR="00000000" w:rsidRPr="00000000">
        <w:rPr>
          <w:rtl w:val="0"/>
        </w:rPr>
        <w:t xml:space="preserve"> less a commercially sensitive window. A vendor drip-feeding a two-year sample is already off-standard.</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2 · Data lineage. This is the hardest gate — 90% of FISD webinar attendees named it the most difficult requirement to satisfy.</w:t>
      </w:r>
      <w:r w:rsidDel="00000000" w:rsidR="00000000" w:rsidRPr="00000000">
        <w:rPr>
          <w:rtl w:val="0"/>
        </w:rPr>
        <w:t xml:space="preserve"> Vendors must document whether data "was backfilled," whether "missing values were interpolated," whether "values were altered for schema alignment," whether "outliers were removed," with audit trails logging when and by whom.</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3 · Rights to redistribute.</w:t>
      </w:r>
      <w:r w:rsidDel="00000000" w:rsidR="00000000" w:rsidRPr="00000000">
        <w:rPr>
          <w:rtl w:val="0"/>
        </w:rPr>
        <w:t xml:space="preserve"> The FISD DDQ requires contracts evidencing the legal right to resell or license the data </w:t>
      </w:r>
      <w:r w:rsidDel="00000000" w:rsidR="00000000" w:rsidRPr="00000000">
        <w:rPr>
          <w:i w:val="1"/>
          <w:iCs w:val="1"/>
          <w:rtl w:val="0"/>
        </w:rPr>
        <w:t xml:space="preserve">and any derived products</w:t>
      </w:r>
      <w:r w:rsidDel="00000000" w:rsidR="00000000" w:rsidRPr="00000000">
        <w:rPr>
          <w:rtl w:val="0"/>
        </w:rPr>
        <w:t xml:space="preserve">. It probes web-scraping method, proxy use, IP anonymisation, and compliance with </w:t>
      </w:r>
      <w:r w:rsidDel="00000000" w:rsidR="00000000" w:rsidRPr="00000000">
        <w:rPr>
          <w:b w:val="1"/>
          <w:bCs w:val="1"/>
          <w:rtl w:val="0"/>
        </w:rPr>
        <w:t xml:space="preserve">robots.txt and terms of service</w:t>
      </w:r>
      <w:r w:rsidDel="00000000" w:rsidR="00000000" w:rsidRPr="00000000">
        <w:rPr>
          <w:rtl w:val="0"/>
        </w:rPr>
        <w:t xml:space="preserve"> specifically. Its organising principle is excluding data from "breach of fiduciary duty, breach of contract or deceptive behavior." </w:t>
      </w:r>
      <w:r w:rsidDel="00000000" w:rsidR="00000000" w:rsidRPr="00000000">
        <w:rPr>
          <w:i w:val="1"/>
          <w:iCs w:val="1"/>
          <w:rtl w:val="0"/>
        </w:rPr>
        <w:t xml:space="preserve">"We scraped it and nobody complained"</w:t>
      </w:r>
      <w:r w:rsidDel="00000000" w:rsidR="00000000" w:rsidRPr="00000000">
        <w:rPr>
          <w:rtl w:val="0"/>
        </w:rPr>
        <w:t xml:space="preserve"> is not a right.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4 · PII — an instant kill, not a negotiation.</w:t>
      </w:r>
      <w:r w:rsidDel="00000000" w:rsidR="00000000" w:rsidRPr="00000000">
        <w:rPr>
          <w:rtl w:val="0"/>
        </w:rPr>
        <w:t xml:space="preserve"> Nasdaq's data team: </w:t>
      </w:r>
      <w:r w:rsidDel="00000000" w:rsidR="00000000" w:rsidRPr="00000000">
        <w:rPr>
          <w:i w:val="1"/>
          <w:iCs w:val="1"/>
          <w:rtl w:val="0"/>
        </w:rPr>
        <w:t xml:space="preserve">"We do not even want to see data that contains PII and nor do our clients. It is not worth the compliance risk."</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5 · MNPI.</w:t>
      </w:r>
      <w:r w:rsidDel="00000000" w:rsidR="00000000" w:rsidRPr="00000000">
        <w:rPr>
          <w:rtl w:val="0"/>
        </w:rPr>
        <w:t xml:space="preserve"> Vendors must diligence origin to ensure no material non-public information.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6 · Identifier mapping, at ROW level.</w:t>
      </w:r>
      <w:r w:rsidDel="00000000" w:rsidR="00000000" w:rsidRPr="00000000">
        <w:rPr>
          <w:rtl w:val="0"/>
        </w:rPr>
        <w:t xml:space="preserve"> FISD's Identifiers Learning Point names the accepted set — ticker, ISIN, </w:t>
      </w:r>
      <w:r w:rsidDel="00000000" w:rsidR="00000000" w:rsidRPr="00000000">
        <w:rPr>
          <w:b w:val="1"/>
          <w:bCs w:val="1"/>
          <w:rtl w:val="0"/>
        </w:rPr>
        <w:t xml:space="preserve">FIGI</w:t>
      </w:r>
      <w:r w:rsidDel="00000000" w:rsidR="00000000" w:rsidRPr="00000000">
        <w:rPr>
          <w:rtl w:val="0"/>
        </w:rPr>
        <w:t xml:space="preserve">, SEDOL, CUSIP, PermID, RIC — and states the requirement plainly: "a security identifier is essential to be included, for example, </w:t>
      </w:r>
      <w:r w:rsidDel="00000000" w:rsidR="00000000" w:rsidRPr="00000000">
        <w:rPr>
          <w:b w:val="1"/>
          <w:bCs w:val="1"/>
          <w:rtl w:val="0"/>
        </w:rPr>
        <w:t xml:space="preserve">for each row of data provided.</w:t>
      </w:r>
      <w:r w:rsidDel="00000000" w:rsidR="00000000" w:rsidRPr="00000000">
        <w:rPr>
          <w:rtl w:val="0"/>
        </w:rPr>
        <w:t xml:space="preserve">" Unmapped data isn't rejected on principle; the buyer prices in the mapping labour and the dataset stops clearing its hurdle. Nasdaq rejected a geolocation dataset on exactly that basis.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7 · Coverage breadth and stability.</w:t>
      </w:r>
      <w:r w:rsidDel="00000000" w:rsidR="00000000" w:rsidRPr="00000000">
        <w:rPr>
          <w:rtl w:val="0"/>
        </w:rPr>
        <w:t xml:space="preserve"> Eagle Alpha's stated quant threshold is a universe of </w:t>
      </w:r>
      <w:r w:rsidDel="00000000" w:rsidR="00000000" w:rsidRPr="00000000">
        <w:rPr>
          <w:b w:val="1"/>
          <w:bCs w:val="1"/>
          <w:rtl w:val="0"/>
        </w:rPr>
        <w:t xml:space="preserve">75+ tickers</w:t>
      </w:r>
      <w:r w:rsidDel="00000000" w:rsidR="00000000" w:rsidRPr="00000000">
        <w:rPr>
          <w:rtl w:val="0"/>
        </w:rPr>
        <w:t xml:space="preserve">. Coverage that </w:t>
      </w:r>
      <w:r w:rsidDel="00000000" w:rsidR="00000000" w:rsidRPr="00000000">
        <w:rPr>
          <w:i w:val="1"/>
          <w:iCs w:val="1"/>
          <w:rtl w:val="0"/>
        </w:rPr>
        <w:t xml:space="preserve">drifts</w:t>
      </w:r>
      <w:r w:rsidDel="00000000" w:rsidR="00000000" w:rsidRPr="00000000">
        <w:rPr>
          <w:rtl w:val="0"/>
        </w:rPr>
        <w:t xml:space="preserve"> over the history invalidates the backtest even when the signal is real.</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8 · Economics, which is a separate gate from statistics.</w:t>
      </w:r>
      <w:r w:rsidDel="00000000" w:rsidR="00000000" w:rsidRPr="00000000">
        <w:rPr>
          <w:rtl w:val="0"/>
        </w:rPr>
        <w:t xml:space="preserve"> One manager told AIMA it requires alpha </w:t>
      </w:r>
      <w:r w:rsidDel="00000000" w:rsidR="00000000" w:rsidRPr="00000000">
        <w:rPr>
          <w:i w:val="1"/>
          <w:iCs w:val="1"/>
          <w:rtl w:val="0"/>
        </w:rPr>
        <w:t xml:space="preserve">net of acquisition, cleaning, structuring and analysis costs</w:t>
      </w:r>
      <w:r w:rsidDel="00000000" w:rsidR="00000000" w:rsidRPr="00000000">
        <w:rPr>
          <w:rtl w:val="0"/>
        </w:rPr>
        <w:t xml:space="preserve">. 1798 Alternatives targets </w:t>
      </w:r>
      <w:r w:rsidDel="00000000" w:rsidR="00000000" w:rsidRPr="00000000">
        <w:rPr>
          <w:b w:val="1"/>
          <w:bCs w:val="1"/>
          <w:rtl w:val="0"/>
        </w:rPr>
        <w:t xml:space="preserve">at least 10x return relative to all-in cost.</w:t>
      </w:r>
      <w:r w:rsidDel="00000000" w:rsidR="00000000" w:rsidRPr="00000000">
        <w:rPr>
          <w:rtl w:val="0"/>
        </w:rPr>
        <w:t xml:space="preserve"> A real signal that doesn't clear the economics is rejected while being perfectly valid.</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9 · Vendor permanency.</w:t>
      </w:r>
      <w:r w:rsidDel="00000000" w:rsidR="00000000" w:rsidRPr="00000000">
        <w:rPr>
          <w:rtl w:val="0"/>
        </w:rPr>
        <w:t xml:space="preserve"> Neudata's process explicitly includes "company background and permanency risk checks." A one-person vendor is a documented risk item, and buyers hedge it by spreading payments across the term rather than paying upfront.</w:t>
      </w:r>
    </w:p>
    <w:p w:rsidR="00000000" w:rsidDel="00000000" w:rsidP="00000000" w:rsidRDefault="00000000" w:rsidRPr="00000000" w14:paraId="00000081">
      <w:pPr>
        <w:pStyle w:val="Heading3"/>
        <w:rPr/>
      </w:pPr>
      <w:bookmarkStart w:colFirst="0" w:colLast="0" w:name="_z0g3faqk4qsx" w:id="4"/>
      <w:bookmarkEnd w:id="4"/>
      <w:r w:rsidDel="00000000" w:rsidR="00000000" w:rsidRPr="00000000">
        <w:rPr>
          <w:rtl w:val="0"/>
        </w:rPr>
        <w:t xml:space="preserve">The App Annie rule — the most important compliance fact for us</w:t>
      </w:r>
    </w:p>
    <w:p w:rsidR="00000000" w:rsidDel="00000000" w:rsidP="00000000" w:rsidRDefault="00000000" w:rsidRPr="00000000" w14:paraId="00000082">
      <w:pPr>
        <w:rPr/>
      </w:pPr>
      <w:r w:rsidDel="00000000" w:rsidR="00000000" w:rsidRPr="00000000">
        <w:rPr>
          <w:i w:val="1"/>
          <w:iCs w:val="1"/>
          <w:rtl w:val="0"/>
        </w:rPr>
        <w:t xml:space="preserve">SEC v. App Annie</w:t>
      </w:r>
      <w:r w:rsidDel="00000000" w:rsidR="00000000" w:rsidRPr="00000000">
        <w:rPr>
          <w:rtl w:val="0"/>
        </w:rPr>
        <w:t xml:space="preserve"> (Sept 2021) was the first SEC enforcement action against an alternative data provider: </w:t>
      </w:r>
      <w:r w:rsidDel="00000000" w:rsidR="00000000" w:rsidRPr="00000000">
        <w:rPr>
          <w:b w:val="1"/>
          <w:bCs w:val="1"/>
          <w:rtl w:val="0"/>
        </w:rPr>
        <w:t xml:space="preserve">$10M</w:t>
      </w:r>
      <w:r w:rsidDel="00000000" w:rsidR="00000000" w:rsidRPr="00000000">
        <w:rPr>
          <w:rtl w:val="0"/>
        </w:rPr>
        <w:t xml:space="preserve"> from the company, </w:t>
      </w:r>
      <w:r w:rsidDel="00000000" w:rsidR="00000000" w:rsidRPr="00000000">
        <w:rPr>
          <w:b w:val="1"/>
          <w:bCs w:val="1"/>
          <w:rtl w:val="0"/>
        </w:rPr>
        <w:t xml:space="preserve">$300,000 plus a three-year officer-and-director bar</w:t>
      </w:r>
      <w:r w:rsidDel="00000000" w:rsidR="00000000" w:rsidRPr="00000000">
        <w:rPr>
          <w:rtl w:val="0"/>
        </w:rPr>
        <w:t xml:space="preserve"> for the co-founder. </w:t>
      </w:r>
      <w:r w:rsidDel="00000000" w:rsidR="00000000" w:rsidRPr="00000000">
        <w:rPr>
          <w:b w:val="1"/>
          <w:bCs w:val="1"/>
          <w:rtl w:val="0"/>
        </w:rPr>
        <w:t xml:space="preserve">The violation was not collecting bad data. It was misdescribing its own methodology and controls to buyers.</w:t>
      </w:r>
      <w:r w:rsidDel="00000000" w:rsidR="00000000" w:rsidRPr="00000000">
        <w:rPr>
          <w:rtl w:val="0"/>
        </w:rPr>
        <w:t xml:space="preserve"> Every answer we put in a DDQ becomes a securities-law exposure. This is the strongest possible argument for the honest-absence discipline we already run — and against ever publishing an accuracy number we cannot reproduce.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rPr/>
      </w:pPr>
      <w:bookmarkStart w:colFirst="0" w:colLast="0" w:name="_uru7zf7hej2m" w:id="5"/>
      <w:bookmarkEnd w:id="5"/>
      <w:r w:rsidDel="00000000" w:rsidR="00000000" w:rsidRPr="00000000">
        <w:rPr>
          <w:rtl w:val="0"/>
        </w:rPr>
        <w:t xml:space="preserve">Part 3 — The hard truth about selling a score</w:t>
      </w:r>
    </w:p>
    <w:p w:rsidR="00000000" w:rsidDel="00000000" w:rsidP="00000000" w:rsidRDefault="00000000" w:rsidRPr="00000000" w14:paraId="00000086">
      <w:pPr>
        <w:rPr/>
      </w:pPr>
      <w:r w:rsidDel="00000000" w:rsidR="00000000" w:rsidRPr="00000000">
        <w:rPr>
          <w:b w:val="1"/>
          <w:bCs w:val="1"/>
          <w:rtl w:val="0"/>
        </w:rPr>
        <w:t xml:space="preserve">The weight of evidence says sophisticated quant funds do not buy opaque scores as a primary input.</w:t>
      </w:r>
      <w:r w:rsidDel="00000000" w:rsidR="00000000" w:rsidRPr="00000000">
        <w:rPr>
          <w:rtl w:val="0"/>
        </w:rPr>
        <w:t xml:space="preserve"> Deloitte: leading firms favour </w:t>
      </w:r>
      <w:r w:rsidDel="00000000" w:rsidR="00000000" w:rsidRPr="00000000">
        <w:rPr>
          <w:i w:val="1"/>
          <w:iCs w:val="1"/>
          <w:rtl w:val="0"/>
        </w:rPr>
        <w:t xml:space="preserve">"raw, minimally-processed data, allowing internal transformation for specific economic problems rather than vendor-curated signals."</w:t>
      </w:r>
      <w:r w:rsidDel="00000000" w:rsidR="00000000" w:rsidRPr="00000000">
        <w:rPr>
          <w:rtl w:val="0"/>
        </w:rPr>
        <w:t xml:space="preserve"> Jane Street staffs feature engineering in-house and tests whether a dataset is </w:t>
      </w:r>
      <w:r w:rsidDel="00000000" w:rsidR="00000000" w:rsidRPr="00000000">
        <w:rPr>
          <w:i w:val="1"/>
          <w:iCs w:val="1"/>
          <w:rtl w:val="0"/>
        </w:rPr>
        <w:t xml:space="preserve">"additive to our modeling."</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Four mechanical reasons, all downstream of Part 2 rather than snobbery:</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numPr>
          <w:ilvl w:val="0"/>
          <w:numId w:val="2"/>
        </w:numPr>
        <w:ind w:left="720" w:hanging="360"/>
      </w:pPr>
      <w:r w:rsidDel="00000000" w:rsidR="00000000" w:rsidRPr="00000000">
        <w:rPr>
          <w:rtl w:val="0"/>
        </w:rPr>
        <w:t xml:space="preserve">A score </w:t>
      </w:r>
      <w:r w:rsidDel="00000000" w:rsidR="00000000" w:rsidRPr="00000000">
        <w:rPr>
          <w:b w:val="1"/>
          <w:bCs w:val="1"/>
          <w:rtl w:val="0"/>
        </w:rPr>
        <w:t xml:space="preserve">cannot be orthogonalised</w:t>
      </w:r>
      <w:r w:rsidDel="00000000" w:rsidR="00000000" w:rsidRPr="00000000">
        <w:rPr>
          <w:rtl w:val="0"/>
        </w:rPr>
        <w:t xml:space="preserve"> against the buyer's existing factor book unless they can decompose it. "Additive to our modeling" is the test, and a black box can't be tested.</w:t>
      </w:r>
    </w:p>
    <w:p w:rsidR="00000000" w:rsidDel="00000000" w:rsidP="00000000" w:rsidRDefault="00000000" w:rsidRPr="00000000" w14:paraId="0000008B">
      <w:pPr>
        <w:numPr>
          <w:ilvl w:val="0"/>
          <w:numId w:val="2"/>
        </w:numPr>
        <w:ind w:left="720" w:hanging="360"/>
      </w:pPr>
      <w:r w:rsidDel="00000000" w:rsidR="00000000" w:rsidRPr="00000000">
        <w:rPr>
          <w:rtl w:val="0"/>
        </w:rPr>
        <w:t xml:space="preserve">A score </w:t>
      </w:r>
      <w:r w:rsidDel="00000000" w:rsidR="00000000" w:rsidRPr="00000000">
        <w:rPr>
          <w:b w:val="1"/>
          <w:bCs w:val="1"/>
          <w:rtl w:val="0"/>
        </w:rPr>
        <w:t xml:space="preserve">cannot be reconstructed point-in-time if the model was retrained</w:t>
      </w:r>
      <w:r w:rsidDel="00000000" w:rsidR="00000000" w:rsidRPr="00000000">
        <w:rPr>
          <w:rtl w:val="0"/>
        </w:rPr>
        <w:t xml:space="preserve"> — the historical score series then isn't what would have been observable. That is look-ahead bias smuggled in through the model.</w:t>
      </w:r>
    </w:p>
    <w:p w:rsidR="00000000" w:rsidDel="00000000" w:rsidP="00000000" w:rsidRDefault="00000000" w:rsidRPr="00000000" w14:paraId="0000008C">
      <w:pPr>
        <w:numPr>
          <w:ilvl w:val="0"/>
          <w:numId w:val="2"/>
        </w:numPr>
        <w:ind w:left="720" w:hanging="360"/>
      </w:pPr>
      <w:r w:rsidDel="00000000" w:rsidR="00000000" w:rsidRPr="00000000">
        <w:rPr>
          <w:b w:val="1"/>
          <w:bCs w:val="1"/>
          <w:rtl w:val="0"/>
        </w:rPr>
        <w:t xml:space="preserve">A score's revisions are model revisions</w:t>
      </w:r>
      <w:r w:rsidDel="00000000" w:rsidR="00000000" w:rsidRPr="00000000">
        <w:rPr>
          <w:rtl w:val="0"/>
        </w:rPr>
        <w:t xml:space="preserve">, colliding head-on with the lineage requirement to document whether "values were altered."</w:t>
      </w:r>
    </w:p>
    <w:p w:rsidR="00000000" w:rsidDel="00000000" w:rsidP="00000000" w:rsidRDefault="00000000" w:rsidRPr="00000000" w14:paraId="0000008D">
      <w:pPr>
        <w:numPr>
          <w:ilvl w:val="0"/>
          <w:numId w:val="2"/>
        </w:numPr>
        <w:ind w:left="720" w:hanging="360"/>
      </w:pPr>
      <w:r w:rsidDel="00000000" w:rsidR="00000000" w:rsidRPr="00000000">
        <w:rPr>
          <w:rtl w:val="0"/>
        </w:rPr>
        <w:t xml:space="preserve">A score gives the buyer no way to answer </w:t>
      </w:r>
      <w:r w:rsidDel="00000000" w:rsidR="00000000" w:rsidRPr="00000000">
        <w:rPr>
          <w:b w:val="1"/>
          <w:bCs w:val="1"/>
          <w:rtl w:val="0"/>
        </w:rPr>
        <w:t xml:space="preserve">"why is it predictive,"</w:t>
      </w:r>
      <w:r w:rsidDel="00000000" w:rsidR="00000000" w:rsidRPr="00000000">
        <w:rPr>
          <w:rtl w:val="0"/>
        </w:rPr>
        <w:t xml:space="preserve"> which is a first-order test.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But this is not a dead end, and the nuance is where our opportunity lives.</w:t>
      </w:r>
      <w:r w:rsidDel="00000000" w:rsidR="00000000" w:rsidRPr="00000000">
        <w:rPr>
          <w:rtl w:val="0"/>
        </w:rPr>
        <w:t xml:space="preserve"> Only about </w:t>
      </w:r>
      <w:r w:rsidDel="00000000" w:rsidR="00000000" w:rsidRPr="00000000">
        <w:rPr>
          <w:b w:val="1"/>
          <w:bCs w:val="1"/>
          <w:rtl w:val="0"/>
        </w:rPr>
        <w:t xml:space="preserve">38% of buy-side firms want truly raw data</w:t>
      </w:r>
      <w:r w:rsidDel="00000000" w:rsidR="00000000" w:rsidRPr="00000000">
        <w:rPr>
          <w:rtl w:val="0"/>
        </w:rPr>
        <w:t xml:space="preserve">; the majority want cleaned, normalised data </w:t>
      </w:r>
      <w:r w:rsidDel="00000000" w:rsidR="00000000" w:rsidRPr="00000000">
        <w:rPr>
          <w:b w:val="1"/>
          <w:bCs w:val="1"/>
          <w:rtl w:val="0"/>
        </w:rPr>
        <w:t xml:space="preserve">with embedded tags to securities, industries and timestamps</w:t>
      </w:r>
      <w:r w:rsidDel="00000000" w:rsidR="00000000" w:rsidRPr="00000000">
        <w:rPr>
          <w:rtl w:val="0"/>
        </w:rPr>
        <w:t xml:space="preserve">, and only ~17% need no supporting services. So the commercially survivable structure is clear:</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ind w:left="600" w:right="600" w:firstLine="0"/>
        <w:rPr/>
      </w:pPr>
      <w:r w:rsidDel="00000000" w:rsidR="00000000" w:rsidRPr="00000000">
        <w:rPr>
          <w:b w:val="1"/>
          <w:bCs w:val="1"/>
          <w:rtl w:val="0"/>
        </w:rPr>
        <w:t xml:space="preserve">Ship the components AND the score, both with full point-in-time vintages, publish the transformation logic to FISD lineage standard, and let the buyer reproduce the score.</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And the honest strategic reframe: </w:t>
      </w:r>
      <w:r w:rsidDel="00000000" w:rsidR="00000000" w:rsidRPr="00000000">
        <w:rPr>
          <w:b w:val="1"/>
          <w:bCs w:val="1"/>
          <w:rtl w:val="0"/>
        </w:rPr>
        <w:t xml:space="preserve">the Rich List firms buy raw data because they employ 750 engineers.</w:t>
      </w:r>
      <w:r w:rsidDel="00000000" w:rsidR="00000000" w:rsidRPr="00000000">
        <w:rPr>
          <w:rtl w:val="0"/>
        </w:rPr>
        <w:t xml:space="preserve"> Our score is most valuable precisely to buyers who </w:t>
      </w:r>
      <w:r w:rsidDel="00000000" w:rsidR="00000000" w:rsidRPr="00000000">
        <w:rPr>
          <w:i w:val="1"/>
          <w:iCs w:val="1"/>
          <w:rtl w:val="0"/>
        </w:rPr>
        <w:t xml:space="preserve">don't</w:t>
      </w:r>
      <w:r w:rsidDel="00000000" w:rsidR="00000000" w:rsidRPr="00000000">
        <w:rPr>
          <w:rtl w:val="0"/>
        </w:rPr>
        <w:t xml:space="preserve"> — smaller funds, family offices, RIAs, corporate strategy and IR teams, and sell-side research. Positioning against Citadel's Data Strategies Group is positioning against our own strength.</w:t>
      </w:r>
    </w:p>
    <w:p w:rsidR="00000000" w:rsidDel="00000000" w:rsidP="00000000" w:rsidRDefault="00000000" w:rsidRPr="00000000" w14:paraId="00000094">
      <w:pPr>
        <w:pStyle w:val="Heading3"/>
        <w:rPr/>
      </w:pPr>
      <w:bookmarkStart w:colFirst="0" w:colLast="0" w:name="_novhbgiujj3" w:id="6"/>
      <w:bookmarkEnd w:id="6"/>
      <w:r w:rsidDel="00000000" w:rsidR="00000000" w:rsidRPr="00000000">
        <w:rPr>
          <w:rtl w:val="0"/>
        </w:rPr>
        <w:t xml:space="preserve">One more finding we should not flinch from</w:t>
      </w:r>
    </w:p>
    <w:p w:rsidR="00000000" w:rsidDel="00000000" w:rsidP="00000000" w:rsidRDefault="00000000" w:rsidRPr="00000000" w14:paraId="00000095">
      <w:pPr>
        <w:rPr/>
      </w:pPr>
      <w:r w:rsidDel="00000000" w:rsidR="00000000" w:rsidRPr="00000000">
        <w:rPr>
          <w:rtl w:val="0"/>
        </w:rPr>
        <w:t xml:space="preserve">Industry data indicates card-transaction and web-scraped data are the most used and most highly rated, while </w:t>
      </w:r>
      <w:r w:rsidDel="00000000" w:rsidR="00000000" w:rsidRPr="00000000">
        <w:rPr>
          <w:b w:val="1"/>
          <w:bCs w:val="1"/>
          <w:rtl w:val="0"/>
        </w:rPr>
        <w:t xml:space="preserve">social/sentiment data has the most providers and ranks lower for analytical value.</w:t>
      </w:r>
      <w:r w:rsidDel="00000000" w:rsidR="00000000" w:rsidRPr="00000000">
        <w:rPr>
          <w:rtl w:val="0"/>
        </w:rPr>
        <w:t xml:space="preserve"> That is our category. It means the differentiation cannot be "we have sentiment data." It has to be the point-in-time rigour and the provenance — which is, conveniently, exactly what we have been building.</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rPr/>
      </w:pPr>
      <w:bookmarkStart w:colFirst="0" w:colLast="0" w:name="_s2j4kninqqtv" w:id="7"/>
      <w:bookmarkEnd w:id="7"/>
      <w:r w:rsidDel="00000000" w:rsidR="00000000" w:rsidRPr="00000000">
        <w:rPr>
          <w:rtl w:val="0"/>
        </w:rPr>
        <w:t xml:space="preserve">Part 4 — What we already have that most vendors don't</w:t>
      </w:r>
    </w:p>
    <w:p w:rsidR="00000000" w:rsidDel="00000000" w:rsidP="00000000" w:rsidRDefault="00000000" w:rsidRPr="00000000" w14:paraId="00000099">
      <w:pPr>
        <w:rPr/>
      </w:pPr>
      <w:r w:rsidDel="00000000" w:rsidR="00000000" w:rsidRPr="00000000">
        <w:rPr>
          <w:rtl w:val="0"/>
        </w:rPr>
        <w:t xml:space="preserve">This is the good news, and it is substantial. </w:t>
      </w:r>
      <w:r w:rsidDel="00000000" w:rsidR="00000000" w:rsidRPr="00000000">
        <w:rPr>
          <w:b w:val="1"/>
          <w:bCs w:val="1"/>
          <w:rtl w:val="0"/>
        </w:rPr>
        <w:t xml:space="preserve">The hardest requirements to retrofit are the ones we happen to have already built.</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b w:val="1"/>
                <w:bCs w:val="1"/>
              </w:rPr>
            </w:pPr>
            <w:r w:rsidDel="00000000" w:rsidR="00000000" w:rsidRPr="00000000">
              <w:rPr>
                <w:b w:val="1"/>
                <w:bCs w:val="1"/>
                <w:rtl w:val="0"/>
              </w:rPr>
              <w:t xml:space="preserve">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b w:val="1"/>
                <w:bCs w:val="1"/>
              </w:rPr>
            </w:pPr>
            <w:r w:rsidDel="00000000" w:rsidR="00000000" w:rsidRPr="00000000">
              <w:rPr>
                <w:b w:val="1"/>
                <w:bCs w:val="1"/>
                <w:rtl w:val="0"/>
              </w:rPr>
              <w:t xml:space="preserve">What we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b w:val="1"/>
                <w:bCs w:val="1"/>
                <w:rtl w:val="0"/>
              </w:rPr>
              <w:t xml:space="preserve">Point-in-time / no look-ahead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Fonts w:ascii="Roboto Mono" w:cs="Roboto Mono" w:eastAsia="Roboto Mono" w:hAnsi="Roboto Mono"/>
                <w:color w:val="188038"/>
                <w:rtl w:val="0"/>
              </w:rPr>
              <w:t xml:space="preserve">hist_store.py</w:t>
            </w:r>
            <w:r w:rsidDel="00000000" w:rsidR="00000000" w:rsidRPr="00000000">
              <w:rPr>
                <w:rtl w:val="0"/>
              </w:rPr>
              <w:t xml:space="preserve"> bitemporal </w:t>
            </w:r>
            <w:r w:rsidDel="00000000" w:rsidR="00000000" w:rsidRPr="00000000">
              <w:rPr>
                <w:rFonts w:ascii="Roboto Mono" w:cs="Roboto Mono" w:eastAsia="Roboto Mono" w:hAnsi="Roboto Mono"/>
                <w:color w:val="188038"/>
                <w:rtl w:val="0"/>
              </w:rPr>
              <w:t xml:space="preserve">event_date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knowable_at</w:t>
            </w:r>
            <w:r w:rsidDel="00000000" w:rsidR="00000000" w:rsidRPr="00000000">
              <w:rPr>
                <w:rtl w:val="0"/>
              </w:rPr>
              <w:t xml:space="preserve">, all reads via </w:t>
            </w:r>
            <w:r w:rsidDel="00000000" w:rsidR="00000000" w:rsidRPr="00000000">
              <w:rPr>
                <w:rFonts w:ascii="Roboto Mono" w:cs="Roboto Mono" w:eastAsia="Roboto Mono" w:hAnsi="Roboto Mono"/>
                <w:color w:val="188038"/>
                <w:rtl w:val="0"/>
              </w:rPr>
              <w:t xml:space="preserve">as_of(t)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b w:val="1"/>
                <w:bCs w:val="1"/>
                <w:rtl w:val="0"/>
              </w:rPr>
              <w:t xml:space="preserve">Built.</w:t>
            </w:r>
            <w:r w:rsidDel="00000000" w:rsidR="00000000" w:rsidRPr="00000000">
              <w:rPr>
                <w:rtl w:val="0"/>
              </w:rPr>
              <w:t xml:space="preserve"> This is the single hardest thing to retrofit and it exists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b w:val="1"/>
                <w:bCs w:val="1"/>
                <w:rtl w:val="0"/>
              </w:rPr>
              <w:t xml:space="preserve">No silent restatement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Append-only SQLite </w:t>
            </w:r>
            <w:r w:rsidDel="00000000" w:rsidR="00000000" w:rsidRPr="00000000">
              <w:rPr>
                <w:rFonts w:ascii="Roboto Mono" w:cs="Roboto Mono" w:eastAsia="Roboto Mono" w:hAnsi="Roboto Mono"/>
                <w:color w:val="188038"/>
                <w:rtl w:val="0"/>
              </w:rPr>
              <w:t xml:space="preserve">BEFORE UPDATE/DELETE … RAISE(ABORT)</w:t>
            </w:r>
            <w:r w:rsidDel="00000000" w:rsidR="00000000" w:rsidRPr="00000000">
              <w:rPr>
                <w:rtl w:val="0"/>
              </w:rPr>
              <w:t xml:space="preserve"> triggers; </w:t>
            </w:r>
            <w:r w:rsidDel="00000000" w:rsidR="00000000" w:rsidRPr="00000000">
              <w:rPr>
                <w:rFonts w:ascii="Roboto Mono" w:cs="Roboto Mono" w:eastAsia="Roboto Mono" w:hAnsi="Roboto Mono"/>
                <w:color w:val="188038"/>
                <w:rtl w:val="0"/>
              </w:rPr>
              <w:t xml:space="preserve">ReadOnlyHistStore</w:t>
            </w:r>
            <w:r w:rsidDel="00000000" w:rsidR="00000000" w:rsidRPr="00000000">
              <w:rPr>
                <w:rtl w:val="0"/>
              </w:rPr>
              <w:t xml:space="preserve"> opened </w:t>
            </w:r>
            <w:r w:rsidDel="00000000" w:rsidR="00000000" w:rsidRPr="00000000">
              <w:rPr>
                <w:rFonts w:ascii="Roboto Mono" w:cs="Roboto Mono" w:eastAsia="Roboto Mono" w:hAnsi="Roboto Mono"/>
                <w:color w:val="188038"/>
                <w:rtl w:val="0"/>
              </w:rPr>
              <w:t xml:space="preserve">mode=ro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b w:val="1"/>
                <w:bCs w:val="1"/>
                <w:rtl w:val="0"/>
              </w:rPr>
              <w:t xml:space="preserve">Built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b w:val="1"/>
                <w:bCs w:val="1"/>
                <w:rtl w:val="0"/>
              </w:rPr>
              <w:t xml:space="preserve">Lineage / transformation audit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Fonts w:ascii="Roboto Mono" w:cs="Roboto Mono" w:eastAsia="Roboto Mono" w:hAnsi="Roboto Mono"/>
                <w:color w:val="188038"/>
                <w:rtl w:val="0"/>
              </w:rPr>
              <w:t xml:space="preserve">ingestion_gate.py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gate_date()</w:t>
            </w:r>
            <w:r w:rsidDel="00000000" w:rsidR="00000000" w:rsidRPr="00000000">
              <w:rPr>
                <w:rtl w:val="0"/>
              </w:rPr>
              <w:t xml:space="preserve">, quarantine to </w:t>
            </w:r>
            <w:r w:rsidDel="00000000" w:rsidR="00000000" w:rsidRPr="00000000">
              <w:rPr>
                <w:rFonts w:ascii="Roboto Mono" w:cs="Roboto Mono" w:eastAsia="Roboto Mono" w:hAnsi="Roboto Mono"/>
                <w:color w:val="188038"/>
                <w:rtl w:val="0"/>
              </w:rPr>
              <w:t xml:space="preserve">format_review_queue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b w:val="1"/>
                <w:bCs w:val="1"/>
                <w:rtl w:val="0"/>
              </w:rPr>
              <w:t xml:space="preserve">Mostly built</w:t>
            </w:r>
            <w:r w:rsidDel="00000000" w:rsidR="00000000" w:rsidRPr="00000000">
              <w:rPr>
                <w:rtl w:val="0"/>
              </w:rPr>
              <w:t xml:space="preserve"> — needs writing 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b w:val="1"/>
                <w:bCs w:val="1"/>
                <w:rtl w:val="0"/>
              </w:rPr>
              <w:t xml:space="preserve">Rights to redistribute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Engine </w:t>
            </w:r>
            <w:r w:rsidDel="00000000" w:rsidR="00000000" w:rsidRPr="00000000">
              <w:rPr>
                <w:rFonts w:ascii="Roboto Mono" w:cs="Roboto Mono" w:eastAsia="Roboto Mono" w:hAnsi="Roboto Mono"/>
                <w:color w:val="188038"/>
                <w:rtl w:val="0"/>
              </w:rPr>
              <w:t xml:space="preserve">CLAUDE.md</w:t>
            </w:r>
            <w:r w:rsidDel="00000000" w:rsidR="00000000" w:rsidRPr="00000000">
              <w:rPr>
                <w:rtl w:val="0"/>
              </w:rPr>
              <w:t xml:space="preserve"> line 74 banned-source list; the OpenBB Chairman ruling; the AP/scraping analysis; the licensing survey of 12 news APIs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b w:val="1"/>
                <w:bCs w:val="1"/>
                <w:rtl w:val="0"/>
              </w:rPr>
              <w:t xml:space="preserve">Genuine differentiator.</w:t>
            </w:r>
            <w:r w:rsidDel="00000000" w:rsidR="00000000" w:rsidRPr="00000000">
              <w:rPr>
                <w:rtl w:val="0"/>
              </w:rPr>
              <w:t xml:space="preserve"> Most vendors cannot answer this. We have written rulings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b w:val="1"/>
                <w:bCs w:val="1"/>
                <w:rtl w:val="0"/>
              </w:rPr>
              <w:t xml:space="preserve">Reproducibility / pre-registration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Sealed </w:t>
            </w:r>
            <w:r w:rsidDel="00000000" w:rsidR="00000000" w:rsidRPr="00000000">
              <w:rPr>
                <w:rFonts w:ascii="Roboto Mono" w:cs="Roboto Mono" w:eastAsia="Roboto Mono" w:hAnsi="Roboto Mono"/>
                <w:color w:val="188038"/>
                <w:rtl w:val="0"/>
              </w:rPr>
              <w:t xml:space="preserve">prereg</w:t>
            </w:r>
            <w:r w:rsidDel="00000000" w:rsidR="00000000" w:rsidRPr="00000000">
              <w:rPr>
                <w:rtl w:val="0"/>
              </w:rPr>
              <w:t xml:space="preserve">, PREREG LOCK </w:t>
            </w:r>
            <w:r w:rsidDel="00000000" w:rsidR="00000000" w:rsidRPr="00000000">
              <w:rPr>
                <w:rFonts w:ascii="Roboto Mono" w:cs="Roboto Mono" w:eastAsia="Roboto Mono" w:hAnsi="Roboto Mono"/>
                <w:color w:val="188038"/>
                <w:rtl w:val="0"/>
              </w:rPr>
              <w:t xml:space="preserve">261716973f6968b4</w:t>
            </w:r>
            <w:r w:rsidDel="00000000" w:rsidR="00000000" w:rsidRPr="00000000">
              <w:rPr>
                <w:rtl w:val="0"/>
              </w:rPr>
              <w:t xml:space="preserve">, Merkle/manifest sealing, </w:t>
            </w:r>
            <w:r w:rsidDel="00000000" w:rsidR="00000000" w:rsidRPr="00000000">
              <w:rPr>
                <w:rFonts w:ascii="Roboto Mono" w:cs="Roboto Mono" w:eastAsia="Roboto Mono" w:hAnsi="Roboto Mono"/>
                <w:color w:val="188038"/>
                <w:rtl w:val="0"/>
              </w:rPr>
              <w:t xml:space="preserve">param_version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b w:val="1"/>
                <w:bCs w:val="1"/>
                <w:rtl w:val="0"/>
              </w:rPr>
              <w:t xml:space="preserve">Built</w:t>
            </w:r>
            <w:r w:rsidDel="00000000" w:rsidR="00000000" w:rsidRPr="00000000">
              <w:rPr>
                <w:rtl w:val="0"/>
              </w:rPr>
              <w:t xml:space="preserve"> — stronger than most vendors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b w:val="1"/>
                <w:bCs w:val="1"/>
                <w:rtl w:val="0"/>
              </w:rPr>
              <w:t xml:space="preserve">Held-out track record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Three separate accuracy ledgers, never-deleted, 365-day retention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b w:val="1"/>
                <w:bCs w:val="1"/>
                <w:rtl w:val="0"/>
              </w:rPr>
              <w:t xml:space="preserve">Built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b w:val="1"/>
                <w:bCs w:val="1"/>
                <w:rtl w:val="0"/>
              </w:rPr>
              <w:t xml:space="preserve">Data-quality discipline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Fonts w:ascii="Roboto Mono" w:cs="Roboto Mono" w:eastAsia="Roboto Mono" w:hAnsi="Roboto Mono"/>
                <w:color w:val="188038"/>
                <w:rtl w:val="0"/>
              </w:rPr>
              <w:t xml:space="preserve">CATCHALL_MIN_SOURCES = 2</w:t>
            </w:r>
            <w:r w:rsidDel="00000000" w:rsidR="00000000" w:rsidRPr="00000000">
              <w:rPr>
                <w:rtl w:val="0"/>
              </w:rPr>
              <w:t xml:space="preserve">, honest </w:t>
            </w:r>
            <w:r w:rsidDel="00000000" w:rsidR="00000000" w:rsidRPr="00000000">
              <w:rPr>
                <w:rFonts w:ascii="Roboto Mono" w:cs="Roboto Mono" w:eastAsia="Roboto Mono" w:hAnsi="Roboto Mono"/>
                <w:color w:val="188038"/>
                <w:rtl w:val="0"/>
              </w:rPr>
              <w:t xml:space="preserve">n/a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flow_integrity: not_started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b w:val="1"/>
                <w:bCs w:val="1"/>
                <w:rtl w:val="0"/>
              </w:rPr>
              <w:t xml:space="preserve">Built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b w:val="1"/>
                <w:bCs w:val="1"/>
                <w:rtl w:val="0"/>
              </w:rPr>
              <w:t xml:space="preserve">Identifier mapping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OpenFIGI researched — free, MIT-licensed, </w:t>
            </w:r>
            <w:r w:rsidDel="00000000" w:rsidR="00000000" w:rsidRPr="00000000">
              <w:rPr>
                <w:rFonts w:ascii="Roboto Mono" w:cs="Roboto Mono" w:eastAsia="Roboto Mono" w:hAnsi="Roboto Mono"/>
                <w:color w:val="188038"/>
                <w:rtl w:val="0"/>
              </w:rPr>
              <w:t xml:space="preserve">api.openfigi.com/v3</w:t>
            </w:r>
            <w:r w:rsidDel="00000000" w:rsidR="00000000" w:rsidRPr="00000000">
              <w:rPr>
                <w:rtl w:val="0"/>
              </w:rPr>
              <w:t xml:space="preserve">, FIGIs never change or get reused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b w:val="1"/>
                <w:bCs w:val="1"/>
                <w:rtl w:val="0"/>
              </w:rPr>
              <w:t xml:space="preserve">Ready to implement</w:t>
            </w:r>
            <w:r w:rsidDel="00000000" w:rsidR="00000000" w:rsidRPr="00000000">
              <w:rPr>
                <w:rtl w:val="0"/>
              </w:rPr>
            </w:r>
          </w:p>
        </w:tc>
      </w:tr>
    </w:tbl>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rtl w:val="0"/>
        </w:rPr>
        <w:t xml:space="preserve">The moat is not the score.</w:t>
      </w:r>
      <w:r w:rsidDel="00000000" w:rsidR="00000000" w:rsidRPr="00000000">
        <w:rPr>
          <w:rtl w:val="0"/>
        </w:rPr>
        <w:t xml:space="preserve"> The moat is the </w:t>
      </w:r>
      <w:r w:rsidDel="00000000" w:rsidR="00000000" w:rsidRPr="00000000">
        <w:rPr>
          <w:b w:val="1"/>
          <w:bCs w:val="1"/>
          <w:rtl w:val="0"/>
        </w:rPr>
        <w:t xml:space="preserve">point-in-time archive</w:t>
      </w:r>
      <w:r w:rsidDel="00000000" w:rsidR="00000000" w:rsidRPr="00000000">
        <w:rPr>
          <w:rtl w:val="0"/>
        </w:rPr>
        <w:t xml:space="preserve">, because it accrues value every single day and </w:t>
      </w:r>
      <w:r w:rsidDel="00000000" w:rsidR="00000000" w:rsidRPr="00000000">
        <w:rPr>
          <w:b w:val="1"/>
          <w:bCs w:val="1"/>
          <w:rtl w:val="0"/>
        </w:rPr>
        <w:t xml:space="preserve">cannot be back-filled by a competitor.</w:t>
      </w:r>
      <w:r w:rsidDel="00000000" w:rsidR="00000000" w:rsidRPr="00000000">
        <w:rPr>
          <w:rtl w:val="0"/>
        </w:rPr>
        <w:t xml:space="preserve"> Someone starting in 2028 cannot manufacture 2026 </w:t>
      </w:r>
      <w:r w:rsidDel="00000000" w:rsidR="00000000" w:rsidRPr="00000000">
        <w:rPr>
          <w:rFonts w:ascii="Roboto Mono" w:cs="Roboto Mono" w:eastAsia="Roboto Mono" w:hAnsi="Roboto Mono"/>
          <w:color w:val="188038"/>
          <w:rtl w:val="0"/>
        </w:rPr>
        <w:t xml:space="preserve">knowable_at</w:t>
      </w:r>
      <w:r w:rsidDel="00000000" w:rsidR="00000000" w:rsidRPr="00000000">
        <w:rPr>
          <w:rtl w:val="0"/>
        </w:rPr>
        <w:t xml:space="preserve"> stamps. Combined with a documented rights position, that is a defensible asset — and Renaissance's own history says the same thing: their moat was Sandor Straus's cleaned archive, not the math.</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rPr/>
      </w:pPr>
      <w:bookmarkStart w:colFirst="0" w:colLast="0" w:name="_voj3f95acx22" w:id="8"/>
      <w:bookmarkEnd w:id="8"/>
      <w:r w:rsidDel="00000000" w:rsidR="00000000" w:rsidRPr="00000000">
        <w:rPr>
          <w:rtl w:val="0"/>
        </w:rPr>
        <w:t xml:space="preserve">Part 5 — What would fail a DDQ today</w:t>
      </w:r>
    </w:p>
    <w:p w:rsidR="00000000" w:rsidDel="00000000" w:rsidP="00000000" w:rsidRDefault="00000000" w:rsidRPr="00000000" w14:paraId="000000BB">
      <w:pPr>
        <w:rPr/>
      </w:pPr>
      <w:r w:rsidDel="00000000" w:rsidR="00000000" w:rsidRPr="00000000">
        <w:rPr>
          <w:rtl w:val="0"/>
        </w:rPr>
        <w:t xml:space="preserve">Blunt, because the App Annie rule means overstating readiness is worse than admitting gaps.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numPr>
          <w:ilvl w:val="0"/>
          <w:numId w:val="1"/>
        </w:numPr>
        <w:ind w:left="720" w:hanging="360"/>
      </w:pPr>
      <w:r w:rsidDel="00000000" w:rsidR="00000000" w:rsidRPr="00000000">
        <w:rPr>
          <w:b w:val="1"/>
          <w:bCs w:val="1"/>
          <w:rtl w:val="0"/>
        </w:rPr>
        <w:t xml:space="preserve">The accuracy numbers.</w:t>
      </w:r>
      <w:r w:rsidDel="00000000" w:rsidR="00000000" w:rsidRPr="00000000">
        <w:rPr>
          <w:rtl w:val="0"/>
        </w:rPr>
        <w:t xml:space="preserve"> Seven published figures spanning </w:t>
      </w:r>
      <w:r w:rsidDel="00000000" w:rsidR="00000000" w:rsidRPr="00000000">
        <w:rPr>
          <w:b w:val="1"/>
          <w:bCs w:val="1"/>
          <w:rtl w:val="0"/>
        </w:rPr>
        <w:t xml:space="preserve">0%–54.5%</w:t>
      </w:r>
      <w:r w:rsidDel="00000000" w:rsidR="00000000" w:rsidRPr="00000000">
        <w:rPr>
          <w:rtl w:val="0"/>
        </w:rPr>
        <w:t xml:space="preserve"> (audit finding A4). A buyer asking "what is your hit rate" gets seven answers. This must be resolved into scoped, reproducible, per-ledger figures before any external conversation.</w:t>
      </w:r>
    </w:p>
    <w:p w:rsidR="00000000" w:rsidDel="00000000" w:rsidP="00000000" w:rsidRDefault="00000000" w:rsidRPr="00000000" w14:paraId="000000BE">
      <w:pPr>
        <w:numPr>
          <w:ilvl w:val="0"/>
          <w:numId w:val="1"/>
        </w:numPr>
        <w:ind w:left="720" w:hanging="360"/>
      </w:pPr>
      <w:r w:rsidDel="00000000" w:rsidR="00000000" w:rsidRPr="00000000">
        <w:rPr>
          <w:b w:val="1"/>
          <w:bCs w:val="1"/>
          <w:rtl w:val="0"/>
        </w:rPr>
        <w:t xml:space="preserve">Crypto grades a signal with zero money input.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crypto_accuracy_ledger</w:t>
      </w:r>
      <w:r w:rsidDel="00000000" w:rsidR="00000000" w:rsidRPr="00000000">
        <w:rPr>
          <w:rtl w:val="0"/>
        </w:rPr>
        <w:t xml:space="preserve"> has been scoring against a money leg that does not exist. Fix or withdraw the ledger.</w:t>
      </w:r>
    </w:p>
    <w:p w:rsidR="00000000" w:rsidDel="00000000" w:rsidP="00000000" w:rsidRDefault="00000000" w:rsidRPr="00000000" w14:paraId="000000BF">
      <w:pPr>
        <w:numPr>
          <w:ilvl w:val="0"/>
          <w:numId w:val="1"/>
        </w:numPr>
        <w:ind w:left="720" w:hanging="360"/>
      </w:pPr>
      <w:r w:rsidDel="00000000" w:rsidR="00000000" w:rsidRPr="00000000">
        <w:rPr>
          <w:b w:val="1"/>
          <w:bCs w:val="1"/>
          <w:rtl w:val="0"/>
        </w:rPr>
        <w:t xml:space="preserve">A live credential sits in plaintext</w:t>
      </w:r>
      <w:r w:rsidDel="00000000" w:rsidR="00000000" w:rsidRPr="00000000">
        <w:rPr>
          <w:rtl w:val="0"/>
        </w:rPr>
        <w:t xml:space="preserve"> in engine </w:t>
      </w:r>
      <w:r w:rsidDel="00000000" w:rsidR="00000000" w:rsidRPr="00000000">
        <w:rPr>
          <w:rFonts w:ascii="Roboto Mono" w:cs="Roboto Mono" w:eastAsia="Roboto Mono" w:hAnsi="Roboto Mono"/>
          <w:color w:val="188038"/>
          <w:rtl w:val="0"/>
        </w:rPr>
        <w:t xml:space="preserve">CLAUDE.md</w:t>
      </w:r>
      <w:r w:rsidDel="00000000" w:rsidR="00000000" w:rsidRPr="00000000">
        <w:rPr>
          <w:rtl w:val="0"/>
        </w:rPr>
        <w:t xml:space="preserve"> line 100. Any DDQ security question fails on this. </w:t>
      </w:r>
      <w:r w:rsidDel="00000000" w:rsidR="00000000" w:rsidRPr="00000000">
        <w:rPr>
          <w:b w:val="1"/>
          <w:bCs w:val="1"/>
          <w:rtl w:val="0"/>
        </w:rPr>
        <w:t xml:space="preserve">Rotate it — this is a today item, independent of any sales plan.</w:t>
      </w:r>
      <w:r w:rsidDel="00000000" w:rsidR="00000000" w:rsidRPr="00000000">
        <w:rPr>
          <w:rtl w:val="0"/>
        </w:rPr>
      </w:r>
    </w:p>
    <w:p w:rsidR="00000000" w:rsidDel="00000000" w:rsidP="00000000" w:rsidRDefault="00000000" w:rsidRPr="00000000" w14:paraId="000000C0">
      <w:pPr>
        <w:numPr>
          <w:ilvl w:val="0"/>
          <w:numId w:val="1"/>
        </w:numPr>
        <w:ind w:left="720" w:hanging="360"/>
      </w:pPr>
      <w:r w:rsidDel="00000000" w:rsidR="00000000" w:rsidRPr="00000000">
        <w:rPr>
          <w:b w:val="1"/>
          <w:bCs w:val="1"/>
          <w:rtl w:val="0"/>
        </w:rPr>
        <w:t xml:space="preserve">No PII or MNPI policy document exists.</w:t>
      </w:r>
      <w:r w:rsidDel="00000000" w:rsidR="00000000" w:rsidRPr="00000000">
        <w:rPr>
          <w:rtl w:val="0"/>
        </w:rPr>
        <w:t xml:space="preserve"> Both are required DDQ answers.</w:t>
      </w:r>
    </w:p>
    <w:p w:rsidR="00000000" w:rsidDel="00000000" w:rsidP="00000000" w:rsidRDefault="00000000" w:rsidRPr="00000000" w14:paraId="000000C1">
      <w:pPr>
        <w:numPr>
          <w:ilvl w:val="0"/>
          <w:numId w:val="1"/>
        </w:numPr>
        <w:ind w:left="720" w:hanging="360"/>
      </w:pPr>
      <w:r w:rsidDel="00000000" w:rsidR="00000000" w:rsidRPr="00000000">
        <w:rPr>
          <w:b w:val="1"/>
          <w:bCs w:val="1"/>
          <w:rtl w:val="0"/>
        </w:rPr>
        <w:t xml:space="preserve">No row-level security identifier.</w:t>
      </w:r>
      <w:r w:rsidDel="00000000" w:rsidR="00000000" w:rsidRPr="00000000">
        <w:rPr>
          <w:rtl w:val="0"/>
        </w:rPr>
      </w:r>
    </w:p>
    <w:p w:rsidR="00000000" w:rsidDel="00000000" w:rsidP="00000000" w:rsidRDefault="00000000" w:rsidRPr="00000000" w14:paraId="000000C2">
      <w:pPr>
        <w:numPr>
          <w:ilvl w:val="0"/>
          <w:numId w:val="1"/>
        </w:numPr>
        <w:ind w:left="720" w:hanging="360"/>
      </w:pPr>
      <w:r w:rsidDel="00000000" w:rsidR="00000000" w:rsidRPr="00000000">
        <w:rPr>
          <w:b w:val="1"/>
          <w:bCs w:val="1"/>
          <w:rtl w:val="0"/>
        </w:rPr>
        <w:t xml:space="preserve">Coverage count is unknown</w:t>
      </w:r>
      <w:r w:rsidDel="00000000" w:rsidR="00000000" w:rsidRPr="00000000">
        <w:rPr>
          <w:rtl w:val="0"/>
        </w:rPr>
        <w:t xml:space="preserve"> against the 75-ticker quant threshold. We have never counted.</w:t>
      </w:r>
    </w:p>
    <w:p w:rsidR="00000000" w:rsidDel="00000000" w:rsidP="00000000" w:rsidRDefault="00000000" w:rsidRPr="00000000" w14:paraId="000000C3">
      <w:pPr>
        <w:numPr>
          <w:ilvl w:val="0"/>
          <w:numId w:val="1"/>
        </w:numPr>
        <w:ind w:left="720" w:hanging="360"/>
      </w:pPr>
      <w:r w:rsidDel="00000000" w:rsidR="00000000" w:rsidRPr="00000000">
        <w:rPr>
          <w:b w:val="1"/>
          <w:bCs w:val="1"/>
          <w:rtl w:val="0"/>
        </w:rPr>
        <w:t xml:space="preserve">No null model</w:t>
      </w:r>
      <w:r w:rsidDel="00000000" w:rsidR="00000000" w:rsidRPr="00000000">
        <w:rPr>
          <w:rtl w:val="0"/>
        </w:rPr>
        <w:t xml:space="preserve"> for the 365-day lead window (audit finding A5) — a buyer will ask what the random-chance baseline is, and "we haven't computed it" is a stopping answer.</w:t>
      </w:r>
    </w:p>
    <w:p w:rsidR="00000000" w:rsidDel="00000000" w:rsidP="00000000" w:rsidRDefault="00000000" w:rsidRPr="00000000" w14:paraId="000000C4">
      <w:pPr>
        <w:numPr>
          <w:ilvl w:val="0"/>
          <w:numId w:val="1"/>
        </w:numPr>
        <w:ind w:left="720" w:hanging="360"/>
      </w:pPr>
      <w:r w:rsidDel="00000000" w:rsidR="00000000" w:rsidRPr="00000000">
        <w:rPr>
          <w:b w:val="1"/>
          <w:bCs w:val="1"/>
          <w:rtl w:val="0"/>
        </w:rPr>
        <w:t xml:space="preserve">Single-founder permanency risk</w:t>
      </w:r>
      <w:r w:rsidDel="00000000" w:rsidR="00000000" w:rsidRPr="00000000">
        <w:rPr>
          <w:rtl w:val="0"/>
        </w:rPr>
        <w:t xml:space="preserve"> is a literal Neudata check item.</w:t>
      </w:r>
    </w:p>
    <w:p w:rsidR="00000000" w:rsidDel="00000000" w:rsidP="00000000" w:rsidRDefault="00000000" w:rsidRPr="00000000" w14:paraId="000000C5">
      <w:pPr>
        <w:numPr>
          <w:ilvl w:val="0"/>
          <w:numId w:val="1"/>
        </w:numPr>
        <w:ind w:left="720" w:hanging="360"/>
      </w:pPr>
      <w:r w:rsidDel="00000000" w:rsidR="00000000" w:rsidRPr="00000000">
        <w:rPr>
          <w:rFonts w:ascii="Roboto Mono" w:cs="Roboto Mono" w:eastAsia="Roboto Mono" w:hAnsi="Roboto Mono"/>
          <w:b w:val="1"/>
          <w:bCs w:val="1"/>
          <w:color w:val="188038"/>
          <w:rtl w:val="0"/>
        </w:rPr>
        <w:t xml:space="preserve">AGENT_CHARTER.md</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DATA_BUILDING_BLOCKS.md</w:t>
      </w:r>
      <w:r w:rsidDel="00000000" w:rsidR="00000000" w:rsidRPr="00000000">
        <w:rPr>
          <w:b w:val="1"/>
          <w:bCs w:val="1"/>
          <w:rtl w:val="0"/>
        </w:rPr>
        <w:t xml:space="preserve"> have never been uploaded</w:t>
      </w:r>
      <w:r w:rsidDel="00000000" w:rsidR="00000000" w:rsidRPr="00000000">
        <w:rPr>
          <w:rtl w:val="0"/>
        </w:rPr>
        <w:t xml:space="preserve">, so we cannot yet describe our own agent inventory completely.</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rPr/>
      </w:pPr>
      <w:bookmarkStart w:colFirst="0" w:colLast="0" w:name="_gji0lnxmt88o" w:id="9"/>
      <w:bookmarkEnd w:id="9"/>
      <w:r w:rsidDel="00000000" w:rsidR="00000000" w:rsidRPr="00000000">
        <w:rPr>
          <w:rtl w:val="0"/>
        </w:rPr>
        <w:t xml:space="preserve">Part 6 — The concrete plan, staged to where we actually are</w:t>
      </w:r>
    </w:p>
    <w:p w:rsidR="00000000" w:rsidDel="00000000" w:rsidP="00000000" w:rsidRDefault="00000000" w:rsidRPr="00000000" w14:paraId="000000C9">
      <w:pPr>
        <w:rPr/>
      </w:pPr>
      <w:r w:rsidDel="00000000" w:rsidR="00000000" w:rsidRPr="00000000">
        <w:rPr>
          <w:b w:val="1"/>
          <w:bCs w:val="1"/>
          <w:rtl w:val="0"/>
        </w:rPr>
        <w:t xml:space="preserve">Everything in Phases 0–2 is free and can be completed before a single buyer conversation.</w:t>
      </w:r>
      <w:r w:rsidDel="00000000" w:rsidR="00000000" w:rsidRPr="00000000">
        <w:rPr>
          <w:rtl w:val="0"/>
        </w:rPr>
        <w:t xml:space="preserve"> That matters, because the evaluation gate is front-loaded into documentation while the post-gate business is durable — Neudata reports </w:t>
      </w:r>
      <w:r w:rsidDel="00000000" w:rsidR="00000000" w:rsidRPr="00000000">
        <w:rPr>
          <w:b w:val="1"/>
          <w:bCs w:val="1"/>
          <w:rtl w:val="0"/>
        </w:rPr>
        <w:t xml:space="preserve">&gt;90% retention once a dataset is adopted.</w:t>
      </w:r>
      <w:r w:rsidDel="00000000" w:rsidR="00000000" w:rsidRPr="00000000">
        <w:rPr>
          <w:rtl w:val="0"/>
        </w:rPr>
      </w:r>
    </w:p>
    <w:p w:rsidR="00000000" w:rsidDel="00000000" w:rsidP="00000000" w:rsidRDefault="00000000" w:rsidRPr="00000000" w14:paraId="000000CA">
      <w:pPr>
        <w:pStyle w:val="Heading3"/>
        <w:rPr/>
      </w:pPr>
      <w:bookmarkStart w:colFirst="0" w:colLast="0" w:name="_660tr8bsnays" w:id="10"/>
      <w:bookmarkEnd w:id="10"/>
      <w:r w:rsidDel="00000000" w:rsidR="00000000" w:rsidRPr="00000000">
        <w:rPr>
          <w:rFonts w:ascii="Arial Unicode MS" w:cs="Arial Unicode MS" w:eastAsia="Arial Unicode MS" w:hAnsi="Arial Unicode MS"/>
          <w:rtl w:val="0"/>
        </w:rPr>
        <w:t xml:space="preserve">Phase 0 — Fix what would fail, and write what we already do (≈4–6 weeks, £0)</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b w:val="1"/>
                <w:bCs w:val="1"/>
              </w:rPr>
            </w:pPr>
            <w:r w:rsidDel="00000000" w:rsidR="00000000" w:rsidRPr="00000000">
              <w:rPr>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b w:val="1"/>
                <w:bCs w:val="1"/>
              </w:rPr>
            </w:pPr>
            <w:r w:rsidDel="00000000" w:rsidR="00000000" w:rsidRPr="00000000">
              <w:rPr>
                <w:b w:val="1"/>
                <w:bCs w:val="1"/>
                <w:rtl w:val="0"/>
              </w:rPr>
              <w:t xml:space="preserve">Why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b w:val="1"/>
                <w:bCs w:val="1"/>
                <w:rtl w:val="0"/>
              </w:rPr>
              <w:t xml:space="preserve">Rotate </w:t>
            </w:r>
            <w:r w:rsidDel="00000000" w:rsidR="00000000" w:rsidRPr="00000000">
              <w:rPr>
                <w:rFonts w:ascii="Roboto Mono" w:cs="Roboto Mono" w:eastAsia="Roboto Mono" w:hAnsi="Roboto Mono"/>
                <w:b w:val="1"/>
                <w:bCs w:val="1"/>
                <w:color w:val="188038"/>
                <w:rtl w:val="0"/>
              </w:rPr>
              <w:t xml:space="preserve">INTERNAL_API_KEY</w:t>
            </w:r>
            <w:r w:rsidDel="00000000" w:rsidR="00000000" w:rsidRPr="00000000">
              <w:rPr>
                <w:b w:val="1"/>
                <w:bCs w:val="1"/>
                <w:rtl w:val="0"/>
              </w:rPr>
              <w:t xml:space="preserve">.</w:t>
            </w:r>
            <w:r w:rsidDel="00000000" w:rsidR="00000000" w:rsidRPr="00000000">
              <w:rPr>
                <w:rtl w:val="0"/>
              </w:rPr>
              <w:t xml:space="preserve"> Move to Heroku config vars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Live credential in source. Today 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b w:val="1"/>
                <w:bCs w:val="1"/>
                <w:rtl w:val="0"/>
              </w:rPr>
              <w:t xml:space="preserve">Resolve the seven accuracy numbers</w:t>
            </w:r>
            <w:r w:rsidDel="00000000" w:rsidR="00000000" w:rsidRPr="00000000">
              <w:rPr>
                <w:rtl w:val="0"/>
              </w:rPr>
              <w:t xml:space="preserve"> into scoped, reproducible, per-ledger figures with N reported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A4; App Annie rule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b w:val="1"/>
                <w:bCs w:val="1"/>
                <w:rtl w:val="0"/>
              </w:rPr>
              <w:t xml:space="preserve">Fix or withdraw the crypto ledger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It grades a signal with no money 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b w:val="1"/>
                <w:bCs w:val="1"/>
                <w:rtl w:val="0"/>
              </w:rPr>
              <w:t xml:space="preserve">Write the PII policy</w:t>
            </w:r>
            <w:r w:rsidDel="00000000" w:rsidR="00000000" w:rsidRPr="00000000">
              <w:rPr>
                <w:rtl w:val="0"/>
              </w:rPr>
              <w:t xml:space="preserve"> — state plainly that we collect and ship 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Instant-kill 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b w:val="1"/>
                <w:bCs w:val="1"/>
                <w:rtl w:val="0"/>
              </w:rPr>
              <w:t xml:space="preserve">Write the MNPI policy</w:t>
            </w:r>
            <w:r w:rsidDel="00000000" w:rsidR="00000000" w:rsidRPr="00000000">
              <w:rPr>
                <w:rtl w:val="0"/>
              </w:rPr>
              <w:t xml:space="preserve"> — all sources public, licensed, no expert networks, no panels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Required DDQ answer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b w:val="1"/>
                <w:bCs w:val="1"/>
                <w:rtl w:val="0"/>
              </w:rPr>
              <w:t xml:space="preserve">Write the rights register</w:t>
            </w:r>
            <w:r w:rsidDel="00000000" w:rsidR="00000000" w:rsidRPr="00000000">
              <w:rPr>
                <w:rtl w:val="0"/>
              </w:rPr>
              <w:t xml:space="preserve"> — one row per source: licence, ToS reviewed, redistribution permitted Y/N,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We have the material; nobody has written it down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b w:val="1"/>
                <w:bCs w:val="1"/>
                <w:rtl w:val="0"/>
              </w:rPr>
              <w:t xml:space="preserve">Write the lineage document</w:t>
            </w:r>
            <w:r w:rsidDel="00000000" w:rsidR="00000000" w:rsidRPr="00000000">
              <w:rPr>
                <w:rtl w:val="0"/>
              </w:rPr>
              <w:t xml:space="preserve"> to FISD standard — every transformation, gate, quarantine, and who/when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The 90%-hardest gate, and we can pass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b w:val="1"/>
                <w:bCs w:val="1"/>
                <w:rtl w:val="0"/>
              </w:rPr>
              <w:t xml:space="preserve">Complete the FISD DDQ</w:t>
            </w:r>
            <w:r w:rsidDel="00000000" w:rsidR="00000000" w:rsidRPr="00000000">
              <w:rPr>
                <w:rtl w:val="0"/>
              </w:rPr>
              <w:t xml:space="preserve"> cold, before anyone 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Free spec; forces every other gap into view</w:t>
            </w:r>
          </w:p>
        </w:tc>
      </w:tr>
    </w:tbl>
    <w:p w:rsidR="00000000" w:rsidDel="00000000" w:rsidP="00000000" w:rsidRDefault="00000000" w:rsidRPr="00000000" w14:paraId="000000E6">
      <w:pPr>
        <w:pStyle w:val="Heading3"/>
        <w:rPr/>
      </w:pPr>
      <w:bookmarkStart w:colFirst="0" w:colLast="0" w:name="_6o9u4owegev" w:id="11"/>
      <w:bookmarkEnd w:id="11"/>
      <w:r w:rsidDel="00000000" w:rsidR="00000000" w:rsidRPr="00000000">
        <w:rPr>
          <w:rFonts w:ascii="Arial Unicode MS" w:cs="Arial Unicode MS" w:eastAsia="Arial Unicode MS" w:hAnsi="Arial Unicode MS"/>
          <w:rtl w:val="0"/>
        </w:rPr>
        <w:t xml:space="preserve">Phase 1 — Make the data buyer-shaped (≈6–8 weeks)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b w:val="1"/>
                <w:bCs w:val="1"/>
              </w:rPr>
            </w:pPr>
            <w:r w:rsidDel="00000000" w:rsidR="00000000" w:rsidRPr="00000000">
              <w:rPr>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b w:val="1"/>
                <w:bCs w:val="1"/>
              </w:rPr>
            </w:pPr>
            <w:r w:rsidDel="00000000" w:rsidR="00000000" w:rsidRPr="00000000">
              <w:rPr>
                <w:b w:val="1"/>
                <w:bCs w:val="1"/>
                <w:rtl w:val="0"/>
              </w:rPr>
              <w:t xml:space="preserve">Why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b w:val="1"/>
                <w:bCs w:val="1"/>
                <w:rtl w:val="0"/>
              </w:rPr>
              <w:t xml:space="preserve">Add row-level OpenFIGI</w:t>
            </w:r>
            <w:r w:rsidDel="00000000" w:rsidR="00000000" w:rsidRPr="00000000">
              <w:rPr>
                <w:rtl w:val="0"/>
              </w:rPr>
              <w:t xml:space="preserve"> to every scored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FISD: identifier required per row. Free, MIT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b w:val="1"/>
                <w:bCs w:val="1"/>
                <w:rtl w:val="0"/>
              </w:rPr>
              <w:t xml:space="preserve">Count coverage</w:t>
            </w:r>
            <w:r w:rsidDel="00000000" w:rsidR="00000000" w:rsidRPr="00000000">
              <w:rPr>
                <w:rtl w:val="0"/>
              </w:rPr>
              <w:t xml:space="preserve"> — distinct mapped tickers, and coverage </w:t>
            </w:r>
            <w:r w:rsidDel="00000000" w:rsidR="00000000" w:rsidRPr="00000000">
              <w:rPr>
                <w:i w:val="1"/>
                <w:iCs w:val="1"/>
                <w:rtl w:val="0"/>
              </w:rPr>
              <w:t xml:space="preserve">by month over the whole history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75+ threshold; drift invalidates backtests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b w:val="1"/>
                <w:bCs w:val="1"/>
                <w:rtl w:val="0"/>
              </w:rPr>
              <w:t xml:space="preserve">Ship components, not just the score</w:t>
            </w:r>
            <w:r w:rsidDel="00000000" w:rsidR="00000000" w:rsidRPr="00000000">
              <w:rPr>
                <w:rtl w:val="0"/>
              </w:rPr>
              <w:t xml:space="preserve"> — G, I, M, D, C, P as separate columns with vintages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Solves orthogonality + "why is it predictive"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b w:val="1"/>
                <w:bCs w:val="1"/>
                <w:rtl w:val="0"/>
              </w:rPr>
              <w:t xml:space="preserve">Vintaged delivery</w:t>
            </w:r>
            <w:r w:rsidDel="00000000" w:rsidR="00000000" w:rsidRPr="00000000">
              <w:rPr>
                <w:rtl w:val="0"/>
              </w:rPr>
              <w:t xml:space="preserve"> — revisions as new rows with new </w:t>
            </w:r>
            <w:r w:rsidDel="00000000" w:rsidR="00000000" w:rsidRPr="00000000">
              <w:rPr>
                <w:rFonts w:ascii="Roboto Mono" w:cs="Roboto Mono" w:eastAsia="Roboto Mono" w:hAnsi="Roboto Mono"/>
                <w:color w:val="188038"/>
                <w:rtl w:val="0"/>
              </w:rPr>
              <w:t xml:space="preserve">knowable_at</w:t>
            </w:r>
            <w:r w:rsidDel="00000000" w:rsidR="00000000" w:rsidRPr="00000000">
              <w:rPr>
                <w:rtl w:val="0"/>
              </w:rPr>
              <w:t xml:space="preserve">, never overwrites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Already the DB behaviour; expose it in the product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b w:val="1"/>
                <w:bCs w:val="1"/>
                <w:rtl w:val="0"/>
              </w:rPr>
              <w:t xml:space="preserve">Build the A5 null model</w:t>
            </w:r>
            <w:r w:rsidDel="00000000" w:rsidR="00000000" w:rsidRPr="00000000">
              <w:rPr>
                <w:rtl w:val="0"/>
              </w:rPr>
              <w:t xml:space="preserve"> on direct FRED/BLS/IMF calls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"What's the random baseline" is a certain question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b w:val="1"/>
                <w:bCs w:val="1"/>
                <w:rtl w:val="0"/>
              </w:rPr>
              <w:t xml:space="preserve">Write the data dictionary</w:t>
            </w:r>
            <w:r w:rsidDel="00000000" w:rsidR="00000000" w:rsidRPr="00000000">
              <w:rPr>
                <w:rtl w:val="0"/>
              </w:rPr>
              <w:t xml:space="preserve"> — every field, type, units, update cadence, revision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Neudata asks for it at listing</w:t>
            </w:r>
          </w:p>
        </w:tc>
      </w:tr>
    </w:tbl>
    <w:p w:rsidR="00000000" w:rsidDel="00000000" w:rsidP="00000000" w:rsidRDefault="00000000" w:rsidRPr="00000000" w14:paraId="000000FC">
      <w:pPr>
        <w:pStyle w:val="Heading3"/>
        <w:rPr/>
      </w:pPr>
      <w:bookmarkStart w:colFirst="0" w:colLast="0" w:name="_3jqywvjxt00s" w:id="12"/>
      <w:bookmarkEnd w:id="12"/>
      <w:r w:rsidDel="00000000" w:rsidR="00000000" w:rsidRPr="00000000">
        <w:rPr>
          <w:rtl w:val="0"/>
        </w:rPr>
        <w:t xml:space="preserve">Phase 2 — Get listed and get evaluated (free)</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b w:val="1"/>
                <w:bCs w:val="1"/>
              </w:rPr>
            </w:pPr>
            <w:r w:rsidDel="00000000" w:rsidR="00000000" w:rsidRPr="00000000">
              <w:rPr>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b w:val="1"/>
                <w:bCs w:val="1"/>
              </w:rPr>
            </w:pPr>
            <w:r w:rsidDel="00000000" w:rsidR="00000000" w:rsidRPr="00000000">
              <w:rPr>
                <w:b w:val="1"/>
                <w:bCs w:val="1"/>
                <w:rtl w:val="0"/>
              </w:rPr>
              <w:t xml:space="preserve">Why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b w:val="1"/>
                <w:bCs w:val="1"/>
                <w:rtl w:val="0"/>
              </w:rPr>
              <w:t xml:space="preserve">Free Neudata listing.</w:t>
            </w:r>
            <w:r w:rsidDel="00000000" w:rsidR="00000000" w:rsidRPr="00000000">
              <w:rPr>
                <w:rtl w:val="0"/>
              </w:rPr>
              <w:t xml:space="preserve"> No cost, </w:t>
            </w:r>
            <w:r w:rsidDel="00000000" w:rsidR="00000000" w:rsidRPr="00000000">
              <w:rPr>
                <w:b w:val="1"/>
                <w:bCs w:val="1"/>
                <w:rtl w:val="0"/>
              </w:rPr>
              <w:t xml:space="preserve">no revenue share</w:t>
            </w:r>
            <w:r w:rsidDel="00000000" w:rsidR="00000000" w:rsidRPr="00000000">
              <w:rPr>
                <w:rtl w:val="0"/>
              </w:rPr>
              <w:t xml:space="preserve">, ~1–4 weeks from first contact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Highest-leverage free action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b w:val="1"/>
                <w:bCs w:val="1"/>
                <w:rtl w:val="0"/>
              </w:rPr>
              <w:t xml:space="preserve">Apply to Fintech Sandbox</w:t>
            </w:r>
            <w:r w:rsidDel="00000000" w:rsidR="00000000" w:rsidRPr="00000000">
              <w:rPr>
                <w:rtl w:val="0"/>
              </w:rPr>
              <w:t xml:space="preserve"> (already identified for the AP feed)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Under $1M ARR, fintech-adjacent — we qualify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b w:val="1"/>
                <w:bCs w:val="1"/>
                <w:rtl w:val="0"/>
              </w:rPr>
              <w:t xml:space="preserve">Build documentation to the BattleFin Data Quality Scorecard</w:t>
            </w:r>
            <w:r w:rsidDel="00000000" w:rsidR="00000000" w:rsidRPr="00000000">
              <w:rPr>
                <w:rtl w:val="0"/>
              </w:rPr>
              <w:t xml:space="preserve"> — metadata summary, univariate, bivariate, time-series, completeness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A free published spec of a first-pass quant screen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b w:val="1"/>
                <w:bCs w:val="1"/>
                <w:rtl w:val="0"/>
              </w:rPr>
              <w:t xml:space="preserve">Adopt the SBAI Standardised Trial Data License Agreement</w:t>
            </w:r>
            <w:r w:rsidDel="00000000" w:rsidR="00000000" w:rsidRPr="00000000">
              <w:rPr>
                <w:rtl w:val="0"/>
              </w:rPr>
              <w:t xml:space="preserve"> as our template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90-day evaluation, full history less a sensitive window, delete-on-termination. Buyers already know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b w:val="1"/>
                <w:bCs w:val="1"/>
                <w:rtl w:val="0"/>
              </w:rPr>
              <w:t xml:space="preserve">Consider a cloud-marketplace listing</w:t>
            </w:r>
            <w:r w:rsidDel="00000000" w:rsidR="00000000" w:rsidRPr="00000000">
              <w:rPr>
                <w:rtl w:val="0"/>
              </w:rPr>
              <w:t xml:space="preserve"> (Snowflake's Capacity Drawdown lets buyers pay from existing commitments — turns a new-vendor decision into budgeted spend)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Removes procurement friction</w:t>
            </w:r>
          </w:p>
        </w:tc>
      </w:tr>
    </w:tbl>
    <w:p w:rsidR="00000000" w:rsidDel="00000000" w:rsidP="00000000" w:rsidRDefault="00000000" w:rsidRPr="00000000" w14:paraId="0000010F">
      <w:pPr>
        <w:pStyle w:val="Heading3"/>
        <w:rPr/>
      </w:pPr>
      <w:bookmarkStart w:colFirst="0" w:colLast="0" w:name="_i386p0uz0aet" w:id="13"/>
      <w:bookmarkEnd w:id="13"/>
      <w:r w:rsidDel="00000000" w:rsidR="00000000" w:rsidRPr="00000000">
        <w:rPr>
          <w:rtl w:val="0"/>
        </w:rPr>
        <w:t xml:space="preserve">Phase 3 — Sell to the right tier first</w:t>
      </w:r>
    </w:p>
    <w:p w:rsidR="00000000" w:rsidDel="00000000" w:rsidP="00000000" w:rsidRDefault="00000000" w:rsidRPr="00000000" w14:paraId="00000110">
      <w:pPr>
        <w:rPr/>
      </w:pPr>
      <w:r w:rsidDel="00000000" w:rsidR="00000000" w:rsidRPr="00000000">
        <w:rPr>
          <w:b w:val="1"/>
          <w:bCs w:val="1"/>
          <w:rtl w:val="0"/>
        </w:rPr>
        <w:t xml:space="preserve">Do not open with Citadel, Millennium, D.E. Shaw or Point72.</w:t>
      </w:r>
      <w:r w:rsidDel="00000000" w:rsidR="00000000" w:rsidRPr="00000000">
        <w:rPr>
          <w:rtl w:val="0"/>
        </w:rPr>
        <w:t xml:space="preserve"> They are addressable, but they buy raw data, run 700-dataset funnels, and will find every Phase 0 gap. Approach them </w:t>
      </w:r>
      <w:r w:rsidDel="00000000" w:rsidR="00000000" w:rsidRPr="00000000">
        <w:rPr>
          <w:i w:val="1"/>
          <w:iCs w:val="1"/>
          <w:rtl w:val="0"/>
        </w:rPr>
        <w:t xml:space="preserve">after</w:t>
      </w:r>
      <w:r w:rsidDel="00000000" w:rsidR="00000000" w:rsidRPr="00000000">
        <w:rPr>
          <w:rtl w:val="0"/>
        </w:rPr>
        <w:t xml:space="preserve"> Phases 0–2, and even then expect a long cycle — Deloitte puts discovery-to-institutionalisation at </w:t>
      </w:r>
      <w:r w:rsidDel="00000000" w:rsidR="00000000" w:rsidRPr="00000000">
        <w:rPr>
          <w:b w:val="1"/>
          <w:bCs w:val="1"/>
          <w:rtl w:val="0"/>
        </w:rPr>
        <w:t xml:space="preserve">two to three years.</w:t>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b w:val="1"/>
          <w:bCs w:val="1"/>
          <w:rtl w:val="0"/>
        </w:rPr>
        <w:t xml:space="preserve">Open instead with the segment that buys processed signals because it lacks in-house quant capacity:</w:t>
      </w:r>
      <w:r w:rsidDel="00000000" w:rsidR="00000000" w:rsidRPr="00000000">
        <w:rPr>
          <w:rtl w:val="0"/>
        </w:rPr>
        <w:t xml:space="preserve"> smaller funds, family offices, RIAs, corporate strategy and IR teams, and sell-side research. That is where a </w:t>
      </w:r>
      <w:r w:rsidDel="00000000" w:rsidR="00000000" w:rsidRPr="00000000">
        <w:rPr>
          <w:i w:val="1"/>
          <w:iCs w:val="1"/>
          <w:rtl w:val="0"/>
        </w:rPr>
        <w:t xml:space="preserve">score</w:t>
      </w:r>
      <w:r w:rsidDel="00000000" w:rsidR="00000000" w:rsidRPr="00000000">
        <w:rPr>
          <w:rtl w:val="0"/>
        </w:rPr>
        <w:t xml:space="preserve"> is the product rather than a liability.</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When we do approach the large funds, the sales motion is three-sided: </w:t>
      </w:r>
      <w:r w:rsidDel="00000000" w:rsidR="00000000" w:rsidRPr="00000000">
        <w:rPr>
          <w:b w:val="1"/>
          <w:bCs w:val="1"/>
          <w:rtl w:val="0"/>
        </w:rPr>
        <w:t xml:space="preserve">central data sourcing = the contracting counterparty and negotiator</w:t>
      </w:r>
      <w:r w:rsidDel="00000000" w:rsidR="00000000" w:rsidRPr="00000000">
        <w:rPr>
          <w:rtl w:val="0"/>
        </w:rPr>
        <w:t xml:space="preserve"> (Point72's own posting: "negotiating terms, and </w:t>
      </w:r>
      <w:r w:rsidDel="00000000" w:rsidR="00000000" w:rsidRPr="00000000">
        <w:rPr>
          <w:b w:val="1"/>
          <w:bCs w:val="1"/>
          <w:rtl w:val="0"/>
        </w:rPr>
        <w:t xml:space="preserve">securing approvals from investment teams</w:t>
      </w:r>
      <w:r w:rsidDel="00000000" w:rsidR="00000000" w:rsidRPr="00000000">
        <w:rPr>
          <w:rtl w:val="0"/>
        </w:rPr>
        <w:t xml:space="preserve">"); </w:t>
      </w:r>
      <w:r w:rsidDel="00000000" w:rsidR="00000000" w:rsidRPr="00000000">
        <w:rPr>
          <w:b w:val="1"/>
          <w:bCs w:val="1"/>
          <w:rtl w:val="0"/>
        </w:rPr>
        <w:t xml:space="preserve">quant research or the sector data-science group = the technical approver</w:t>
      </w:r>
      <w:r w:rsidDel="00000000" w:rsidR="00000000" w:rsidRPr="00000000">
        <w:rPr>
          <w:rtl w:val="0"/>
        </w:rPr>
        <w:t xml:space="preserve">; </w:t>
      </w:r>
      <w:r w:rsidDel="00000000" w:rsidR="00000000" w:rsidRPr="00000000">
        <w:rPr>
          <w:b w:val="1"/>
          <w:bCs w:val="1"/>
          <w:rtl w:val="0"/>
        </w:rPr>
        <w:t xml:space="preserve">a named PM or pod = the economic sponsor.</w:t>
      </w:r>
      <w:r w:rsidDel="00000000" w:rsidR="00000000" w:rsidRPr="00000000">
        <w:rPr>
          <w:rtl w:val="0"/>
        </w:rPr>
        <w:t xml:space="preserve"> At a pod shop you need all three, and the sponsor is what makes it happen.</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One asymmetry to exploit: a large quant manager told AIMA that </w:t>
      </w:r>
      <w:r w:rsidDel="00000000" w:rsidR="00000000" w:rsidRPr="00000000">
        <w:rPr>
          <w:b w:val="1"/>
          <w:bCs w:val="1"/>
          <w:rtl w:val="0"/>
        </w:rPr>
        <w:t xml:space="preserve">~80% of new dataset discoveries came from investment research testing a specific thesis</w:t>
      </w:r>
      <w:r w:rsidDel="00000000" w:rsidR="00000000" w:rsidRPr="00000000">
        <w:rPr>
          <w:rtl w:val="0"/>
        </w:rPr>
        <w:t xml:space="preserve">, and only 20% from prospecting. </w:t>
      </w:r>
      <w:r w:rsidDel="00000000" w:rsidR="00000000" w:rsidRPr="00000000">
        <w:rPr>
          <w:b w:val="1"/>
          <w:bCs w:val="1"/>
          <w:rtl w:val="0"/>
        </w:rPr>
        <w:t xml:space="preserve">We are far more likely to be found because a fund is already asking our question than because they are browsing.</w:t>
      </w:r>
      <w:r w:rsidDel="00000000" w:rsidR="00000000" w:rsidRPr="00000000">
        <w:rPr>
          <w:rtl w:val="0"/>
        </w:rPr>
        <w:t xml:space="preserve"> So publish the methodology and the question we answer, publicly and precisely.</w:t>
      </w:r>
    </w:p>
    <w:p w:rsidR="00000000" w:rsidDel="00000000" w:rsidP="00000000" w:rsidRDefault="00000000" w:rsidRPr="00000000" w14:paraId="00000117">
      <w:pPr>
        <w:pStyle w:val="Heading3"/>
        <w:rPr/>
      </w:pPr>
      <w:bookmarkStart w:colFirst="0" w:colLast="0" w:name="_kg8moo9xiac4" w:id="14"/>
      <w:bookmarkEnd w:id="14"/>
      <w:r w:rsidDel="00000000" w:rsidR="00000000" w:rsidRPr="00000000">
        <w:rPr>
          <w:rtl w:val="0"/>
        </w:rPr>
        <w:t xml:space="preserve">Phase 4 — Pricing, when we get there</w:t>
      </w:r>
    </w:p>
    <w:p w:rsidR="00000000" w:rsidDel="00000000" w:rsidP="00000000" w:rsidRDefault="00000000" w:rsidRPr="00000000" w14:paraId="00000118">
      <w:pPr>
        <w:rPr/>
      </w:pPr>
      <w:r w:rsidDel="00000000" w:rsidR="00000000" w:rsidRPr="00000000">
        <w:rPr>
          <w:rtl w:val="0"/>
        </w:rPr>
        <w:t xml:space="preserve">Published bands: overall </w:t>
      </w:r>
      <w:r w:rsidDel="00000000" w:rsidR="00000000" w:rsidRPr="00000000">
        <w:rPr>
          <w:b w:val="1"/>
          <w:bCs w:val="1"/>
          <w:rtl w:val="0"/>
        </w:rPr>
        <w:t xml:space="preserve">under $25k to $500k+/year</w:t>
      </w:r>
      <w:r w:rsidDel="00000000" w:rsidR="00000000" w:rsidRPr="00000000">
        <w:rPr>
          <w:rtl w:val="0"/>
        </w:rPr>
        <w:t xml:space="preserve">, with most datasets in the </w:t>
      </w:r>
      <w:r w:rsidDel="00000000" w:rsidR="00000000" w:rsidRPr="00000000">
        <w:rPr>
          <w:b w:val="1"/>
          <w:bCs w:val="1"/>
          <w:rtl w:val="0"/>
        </w:rPr>
        <w:t xml:space="preserve">$25k–$150k</w:t>
      </w:r>
      <w:r w:rsidDel="00000000" w:rsidR="00000000" w:rsidRPr="00000000">
        <w:rPr>
          <w:rtl w:val="0"/>
        </w:rPr>
        <w:t xml:space="preserve"> range; sentiment specifically skews low (~30% under $25k). Average dataset revenue is ~$1.1M/year; elite ones exceed $20M. Buyers average ~$1.6M annual spend across ~20 subscriptions.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Price against the </w:t>
      </w:r>
      <w:r w:rsidDel="00000000" w:rsidR="00000000" w:rsidRPr="00000000">
        <w:rPr>
          <w:b w:val="1"/>
          <w:bCs w:val="1"/>
          <w:rtl w:val="0"/>
        </w:rPr>
        <w:t xml:space="preserve">10x all-in-cost hurdle</w:t>
      </w:r>
      <w:r w:rsidDel="00000000" w:rsidR="00000000" w:rsidRPr="00000000">
        <w:rPr>
          <w:rtl w:val="0"/>
        </w:rPr>
        <w:t xml:space="preserve">, not against our own costs. And note the trap: 62% of buyers cite high prices as the primary adoption obstacle, while the retention above 90% means the whole commercial problem is winning the first evaluation, not holding the account.</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2"/>
        <w:rPr/>
      </w:pPr>
      <w:bookmarkStart w:colFirst="0" w:colLast="0" w:name="_1rgo0v5genml" w:id="15"/>
      <w:bookmarkEnd w:id="15"/>
      <w:r w:rsidDel="00000000" w:rsidR="00000000" w:rsidRPr="00000000">
        <w:rPr>
          <w:rtl w:val="0"/>
        </w:rPr>
        <w:t xml:space="preserve">Part 7 — The one-line strategy</w:t>
      </w:r>
    </w:p>
    <w:p w:rsidR="00000000" w:rsidDel="00000000" w:rsidP="00000000" w:rsidRDefault="00000000" w:rsidRPr="00000000" w14:paraId="0000011E">
      <w:pPr>
        <w:rPr/>
      </w:pPr>
      <w:r w:rsidDel="00000000" w:rsidR="00000000" w:rsidRPr="00000000">
        <w:rPr>
          <w:b w:val="1"/>
          <w:bCs w:val="1"/>
          <w:rtl w:val="0"/>
        </w:rPr>
        <w:t xml:space="preserve">We are not competing on having sentiment data — that category is crowded and rated low. We are competing on being the sentiment dataset that a compliance team can actually approve and a quant can actually reproduce.</w:t>
      </w:r>
      <w:r w:rsidDel="00000000" w:rsidR="00000000" w:rsidRPr="00000000">
        <w:rPr>
          <w:rtl w:val="0"/>
        </w:rPr>
        <w:t xml:space="preserve"> Point-in-time from the start, lineage documented, rights written down, identifiers on every row, methodology published, absences shown honestly.</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Everything in Phase 0 and Phase 1 serves that sentence, and none of it requires a customer, a fundraise, or a single new data source.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rPr/>
      </w:pPr>
      <w:bookmarkStart w:colFirst="0" w:colLast="0" w:name="_uquusmz5iivn" w:id="16"/>
      <w:bookmarkEnd w:id="16"/>
      <w:r w:rsidDel="00000000" w:rsidR="00000000" w:rsidRPr="00000000">
        <w:rPr>
          <w:rtl w:val="0"/>
        </w:rPr>
        <w:t xml:space="preserve">Sources</w:t>
      </w:r>
    </w:p>
    <w:p w:rsidR="00000000" w:rsidDel="00000000" w:rsidP="00000000" w:rsidRDefault="00000000" w:rsidRPr="00000000" w14:paraId="00000124">
      <w:pPr>
        <w:rPr/>
      </w:pPr>
      <w:r w:rsidDel="00000000" w:rsidR="00000000" w:rsidRPr="00000000">
        <w:rPr>
          <w:rtl w:val="0"/>
        </w:rPr>
        <w:t xml:space="preserve">II 25th Rich List — </w:t>
      </w:r>
      <w:hyperlink r:id="rId6">
        <w:r w:rsidDel="00000000" w:rsidR="00000000" w:rsidRPr="00000000">
          <w:rPr>
            <w:color w:val="1155cc"/>
            <w:u w:val="single"/>
            <w:rtl w:val="0"/>
          </w:rPr>
          <w:t xml:space="preserve">https://www.institutionalinvestor.com/article/hedge-funds/rich-list-institutional-investors-25th-annual-ranking-highest-earning-hedge</w:t>
        </w:r>
      </w:hyperlink>
      <w:r w:rsidDel="00000000" w:rsidR="00000000" w:rsidRPr="00000000">
        <w:rPr>
          <w:rtl w:val="0"/>
        </w:rPr>
        <w:t xml:space="preserve"> · FISD Alternative Data Council — </w:t>
      </w:r>
      <w:hyperlink r:id="rId7">
        <w:r w:rsidDel="00000000" w:rsidR="00000000" w:rsidRPr="00000000">
          <w:rPr>
            <w:color w:val="1155cc"/>
            <w:u w:val="single"/>
            <w:rtl w:val="0"/>
          </w:rPr>
          <w:t xml:space="preserve">https://fisd.net/alternative-data-council/</w:t>
        </w:r>
      </w:hyperlink>
      <w:r w:rsidDel="00000000" w:rsidR="00000000" w:rsidRPr="00000000">
        <w:rPr>
          <w:rtl w:val="0"/>
        </w:rPr>
        <w:t xml:space="preserve"> · FISD Point-in-Time — </w:t>
      </w:r>
      <w:hyperlink r:id="rId8">
        <w:r w:rsidDel="00000000" w:rsidR="00000000" w:rsidRPr="00000000">
          <w:rPr>
            <w:color w:val="1155cc"/>
            <w:u w:val="single"/>
            <w:rtl w:val="0"/>
          </w:rPr>
          <w:t xml:space="preserve">https://fisd.net/wp-content/uploads/2021/06/Learning-Point-Point-in-Time.pdf</w:t>
        </w:r>
      </w:hyperlink>
      <w:r w:rsidDel="00000000" w:rsidR="00000000" w:rsidRPr="00000000">
        <w:rPr>
          <w:rtl w:val="0"/>
        </w:rPr>
        <w:t xml:space="preserve"> · FISD Data Lineage — </w:t>
      </w:r>
      <w:hyperlink r:id="rId9">
        <w:r w:rsidDel="00000000" w:rsidR="00000000" w:rsidRPr="00000000">
          <w:rPr>
            <w:color w:val="1155cc"/>
            <w:u w:val="single"/>
            <w:rtl w:val="0"/>
          </w:rPr>
          <w:t xml:space="preserve">https://fisd.net/wp-content/uploads/2021/06/Data-Lineage-Learning-Point.pdf</w:t>
        </w:r>
      </w:hyperlink>
      <w:r w:rsidDel="00000000" w:rsidR="00000000" w:rsidRPr="00000000">
        <w:rPr>
          <w:rtl w:val="0"/>
        </w:rPr>
        <w:t xml:space="preserve"> · FISD Identifiers — </w:t>
      </w:r>
      <w:hyperlink r:id="rId10">
        <w:r w:rsidDel="00000000" w:rsidR="00000000" w:rsidRPr="00000000">
          <w:rPr>
            <w:color w:val="1155cc"/>
            <w:u w:val="single"/>
            <w:rtl w:val="0"/>
          </w:rPr>
          <w:t xml:space="preserve">https://fisd.net/wp-content/uploads/2021/06/FISD-Learning-Point-Identifiers-2.pdf</w:t>
        </w:r>
      </w:hyperlink>
      <w:r w:rsidDel="00000000" w:rsidR="00000000" w:rsidRPr="00000000">
        <w:rPr>
          <w:rtl w:val="0"/>
        </w:rPr>
        <w:t xml:space="preserve"> · FISD MNPI — </w:t>
      </w:r>
      <w:hyperlink r:id="rId11">
        <w:r w:rsidDel="00000000" w:rsidR="00000000" w:rsidRPr="00000000">
          <w:rPr>
            <w:color w:val="1155cc"/>
            <w:u w:val="single"/>
            <w:rtl w:val="0"/>
          </w:rPr>
          <w:t xml:space="preserve">https://fisd.net/wp-content/uploads/2021/06/Learning-Point-MNPI-June-18-20-Alt-Data-Council.pdf</w:t>
        </w:r>
      </w:hyperlink>
      <w:r w:rsidDel="00000000" w:rsidR="00000000" w:rsidRPr="00000000">
        <w:rPr>
          <w:rtl w:val="0"/>
        </w:rPr>
        <w:t xml:space="preserve"> · FISD council GitHub — </w:t>
      </w:r>
      <w:hyperlink r:id="rId12">
        <w:r w:rsidDel="00000000" w:rsidR="00000000" w:rsidRPr="00000000">
          <w:rPr>
            <w:color w:val="1155cc"/>
            <w:u w:val="single"/>
            <w:rtl w:val="0"/>
          </w:rPr>
          <w:t xml:space="preserve">https://github.com/siia-fisd/altdata-council</w:t>
        </w:r>
      </w:hyperlink>
      <w:r w:rsidDel="00000000" w:rsidR="00000000" w:rsidRPr="00000000">
        <w:rPr>
          <w:rtl w:val="0"/>
        </w:rPr>
        <w:t xml:space="preserve"> · SBAI trial agreement — </w:t>
      </w:r>
      <w:hyperlink r:id="rId13">
        <w:r w:rsidDel="00000000" w:rsidR="00000000" w:rsidRPr="00000000">
          <w:rPr>
            <w:color w:val="1155cc"/>
            <w:u w:val="single"/>
            <w:rtl w:val="0"/>
          </w:rPr>
          <w:t xml:space="preserve">https://www.sbai.org/static/ed728b0e-beca-45af-bc40f2dff1a4d6df/Standard-Data-Trial-Agreement-6-February-2019.pdf</w:t>
        </w:r>
      </w:hyperlink>
      <w:r w:rsidDel="00000000" w:rsidR="00000000" w:rsidRPr="00000000">
        <w:rPr>
          <w:rtl w:val="0"/>
        </w:rPr>
        <w:t xml:space="preserve"> · SEC v. App Annie — </w:t>
      </w:r>
      <w:hyperlink r:id="rId14">
        <w:r w:rsidDel="00000000" w:rsidR="00000000" w:rsidRPr="00000000">
          <w:rPr>
            <w:color w:val="1155cc"/>
            <w:u w:val="single"/>
            <w:rtl w:val="0"/>
          </w:rPr>
          <w:t xml:space="preserve">https://www.sec.gov/news/press-release/2021-176</w:t>
        </w:r>
      </w:hyperlink>
      <w:r w:rsidDel="00000000" w:rsidR="00000000" w:rsidRPr="00000000">
        <w:rPr>
          <w:rtl w:val="0"/>
        </w:rPr>
        <w:t xml:space="preserve"> · SEC Exams Risk Alert (Apr 2022), via Akin — </w:t>
      </w:r>
      <w:hyperlink r:id="rId15">
        <w:r w:rsidDel="00000000" w:rsidR="00000000" w:rsidRPr="00000000">
          <w:rPr>
            <w:color w:val="1155cc"/>
            <w:u w:val="single"/>
            <w:rtl w:val="0"/>
          </w:rPr>
          <w:t xml:space="preserve">https://www.akingump.com/en/insights/alerts/sec-division-of-examinations-finally-speaks-on-alternative-data</w:t>
        </w:r>
      </w:hyperlink>
      <w:r w:rsidDel="00000000" w:rsidR="00000000" w:rsidRPr="00000000">
        <w:rPr>
          <w:rtl w:val="0"/>
        </w:rPr>
        <w:t xml:space="preserve"> · AIMA, </w:t>
      </w:r>
      <w:r w:rsidDel="00000000" w:rsidR="00000000" w:rsidRPr="00000000">
        <w:rPr>
          <w:i w:val="1"/>
          <w:iCs w:val="1"/>
          <w:rtl w:val="0"/>
        </w:rPr>
        <w:t xml:space="preserve">Casting the Net</w:t>
      </w:r>
      <w:r w:rsidDel="00000000" w:rsidR="00000000" w:rsidRPr="00000000">
        <w:rPr>
          <w:rtl w:val="0"/>
        </w:rPr>
        <w:t xml:space="preserve"> — </w:t>
      </w:r>
      <w:hyperlink r:id="rId16">
        <w:r w:rsidDel="00000000" w:rsidR="00000000" w:rsidRPr="00000000">
          <w:rPr>
            <w:color w:val="1155cc"/>
            <w:u w:val="single"/>
            <w:rtl w:val="0"/>
          </w:rPr>
          <w:t xml:space="preserve">https://www.aima.org/static/8778b1e4-75c3-44e4-b35dc38e1495001e/Casting-The-Net-v10.pdf</w:t>
        </w:r>
      </w:hyperlink>
      <w:r w:rsidDel="00000000" w:rsidR="00000000" w:rsidRPr="00000000">
        <w:rPr>
          <w:rtl w:val="0"/>
        </w:rPr>
        <w:t xml:space="preserve"> · JPM Big Data &amp; AI Strategies — </w:t>
      </w:r>
      <w:hyperlink r:id="rId17">
        <w:r w:rsidDel="00000000" w:rsidR="00000000" w:rsidRPr="00000000">
          <w:rPr>
            <w:color w:val="1155cc"/>
            <w:u w:val="single"/>
            <w:rtl w:val="0"/>
          </w:rPr>
          <w:t xml:space="preserve">https://cpb-us-e2.wpmucdn.com/faculty.sites.uci.edu/dist/2/51/files/2018/05/JPM-2017-MachineLearningInvestments.pdf</w:t>
        </w:r>
      </w:hyperlink>
      <w:r w:rsidDel="00000000" w:rsidR="00000000" w:rsidRPr="00000000">
        <w:rPr>
          <w:rtl w:val="0"/>
        </w:rPr>
        <w:t xml:space="preserve"> · Deloitte on alternative data — </w:t>
      </w:r>
      <w:hyperlink r:id="rId18">
        <w:r w:rsidDel="00000000" w:rsidR="00000000" w:rsidRPr="00000000">
          <w:rPr>
            <w:color w:val="1155cc"/>
            <w:u w:val="single"/>
            <w:rtl w:val="0"/>
          </w:rPr>
          <w:t xml:space="preserve">https://www.deloitte.com/us/en/insights/industry/financial-services/alternative-data-for-investors-from-discovery-to-institutionalization.html</w:t>
        </w:r>
      </w:hyperlink>
      <w:r w:rsidDel="00000000" w:rsidR="00000000" w:rsidRPr="00000000">
        <w:rPr>
          <w:rtl w:val="0"/>
        </w:rPr>
        <w:t xml:space="preserve"> · Eagle Alpha vendor guide — </w:t>
      </w:r>
      <w:hyperlink r:id="rId19">
        <w:r w:rsidDel="00000000" w:rsidR="00000000" w:rsidRPr="00000000">
          <w:rPr>
            <w:color w:val="1155cc"/>
            <w:u w:val="single"/>
            <w:rtl w:val="0"/>
          </w:rPr>
          <w:t xml:space="preserve">https://www.eaglealpha.com/alternative-data-provider-complete-guide/</w:t>
        </w:r>
      </w:hyperlink>
      <w:r w:rsidDel="00000000" w:rsidR="00000000" w:rsidRPr="00000000">
        <w:rPr>
          <w:rtl w:val="0"/>
        </w:rPr>
        <w:t xml:space="preserve"> · Neudata provider FAQs (free listing) — </w:t>
      </w:r>
      <w:hyperlink r:id="rId20">
        <w:r w:rsidDel="00000000" w:rsidR="00000000" w:rsidRPr="00000000">
          <w:rPr>
            <w:color w:val="1155cc"/>
            <w:u w:val="single"/>
            <w:rtl w:val="0"/>
          </w:rPr>
          <w:t xml:space="preserve">https://www.neudata.co/education/data-provider-faqs</w:t>
        </w:r>
      </w:hyperlink>
      <w:r w:rsidDel="00000000" w:rsidR="00000000" w:rsidRPr="00000000">
        <w:rPr>
          <w:rtl w:val="0"/>
        </w:rPr>
        <w:t xml:space="preserve"> · Neudata market sizing — </w:t>
      </w:r>
      <w:hyperlink r:id="rId21">
        <w:r w:rsidDel="00000000" w:rsidR="00000000" w:rsidRPr="00000000">
          <w:rPr>
            <w:color w:val="1155cc"/>
            <w:u w:val="single"/>
            <w:rtl w:val="0"/>
          </w:rPr>
          <w:t xml:space="preserve">https://www.neudata.co/press-release/alternative-data-spending-by-investment-management-firms-could-top-15-4bn-in-2025-according-to-neudata-s-latest-report</w:t>
        </w:r>
      </w:hyperlink>
      <w:r w:rsidDel="00000000" w:rsidR="00000000" w:rsidRPr="00000000">
        <w:rPr>
          <w:rtl w:val="0"/>
        </w:rPr>
        <w:t xml:space="preserve"> · Neudata: how to sell to investment managers — </w:t>
      </w:r>
      <w:hyperlink r:id="rId22">
        <w:r w:rsidDel="00000000" w:rsidR="00000000" w:rsidRPr="00000000">
          <w:rPr>
            <w:color w:val="1155cc"/>
            <w:u w:val="single"/>
            <w:rtl w:val="0"/>
          </w:rPr>
          <w:t xml:space="preserve">https://www.neudata.co/education/how-to-sell-alternative-data-to-investment-managers</w:t>
        </w:r>
      </w:hyperlink>
      <w:r w:rsidDel="00000000" w:rsidR="00000000" w:rsidRPr="00000000">
        <w:rPr>
          <w:rtl w:val="0"/>
        </w:rPr>
        <w:t xml:space="preserve"> · II on dataset pricing — </w:t>
      </w:r>
      <w:hyperlink r:id="rId23">
        <w:r w:rsidDel="00000000" w:rsidR="00000000" w:rsidRPr="00000000">
          <w:rPr>
            <w:color w:val="1155cc"/>
            <w:u w:val="single"/>
            <w:rtl w:val="0"/>
          </w:rPr>
          <w:t xml:space="preserve">https://www.institutionalinvestor.com/article/2bsx5x6m2pew8jzgavmyo/corner-office/how-much-are-managers-paying-for-data</w:t>
        </w:r>
      </w:hyperlink>
      <w:r w:rsidDel="00000000" w:rsidR="00000000" w:rsidRPr="00000000">
        <w:rPr>
          <w:rtl w:val="0"/>
        </w:rPr>
        <w:t xml:space="preserve"> · BattleFin Ensemble scorecard — </w:t>
      </w:r>
      <w:hyperlink r:id="rId24">
        <w:r w:rsidDel="00000000" w:rsidR="00000000" w:rsidRPr="00000000">
          <w:rPr>
            <w:color w:val="1155cc"/>
            <w:u w:val="single"/>
            <w:rtl w:val="0"/>
          </w:rPr>
          <w:t xml:space="preserve">https://www.battlefin.com/ensemble</w:t>
        </w:r>
      </w:hyperlink>
      <w:r w:rsidDel="00000000" w:rsidR="00000000" w:rsidRPr="00000000">
        <w:rPr>
          <w:rtl w:val="0"/>
        </w:rPr>
        <w:t xml:space="preserve"> · Lowenstein Sandler, alt-data contracts — </w:t>
      </w:r>
      <w:hyperlink r:id="rId25">
        <w:r w:rsidDel="00000000" w:rsidR="00000000" w:rsidRPr="00000000">
          <w:rPr>
            <w:color w:val="1155cc"/>
            <w:u w:val="single"/>
            <w:rtl w:val="0"/>
          </w:rPr>
          <w:t xml:space="preserve">https://www.lowenstein.com/media/11088/how-to-ensure-better-contracts-with-alternative-data-providers-1.pdf</w:t>
        </w:r>
      </w:hyperlink>
      <w:r w:rsidDel="00000000" w:rsidR="00000000" w:rsidRPr="00000000">
        <w:rPr>
          <w:rtl w:val="0"/>
        </w:rPr>
        <w:t xml:space="preserve"> · Citadel Data Strategies Group — </w:t>
      </w:r>
      <w:hyperlink r:id="rId26">
        <w:r w:rsidDel="00000000" w:rsidR="00000000" w:rsidRPr="00000000">
          <w:rPr>
            <w:color w:val="1155cc"/>
            <w:u w:val="single"/>
            <w:rtl w:val="0"/>
          </w:rPr>
          <w:t xml:space="preserve">https://www.citadel.com/careers/career-perspectives/real-people-real-impact-how-alternative-data-powers-investment-decisions-at-citadel/</w:t>
        </w:r>
      </w:hyperlink>
      <w:r w:rsidDel="00000000" w:rsidR="00000000" w:rsidRPr="00000000">
        <w:rPr>
          <w:rtl w:val="0"/>
        </w:rPr>
        <w:t xml:space="preserve"> · Point72 Market Intelligence — </w:t>
      </w:r>
      <w:hyperlink r:id="rId27">
        <w:r w:rsidDel="00000000" w:rsidR="00000000" w:rsidRPr="00000000">
          <w:rPr>
            <w:color w:val="1155cc"/>
            <w:u w:val="single"/>
            <w:rtl w:val="0"/>
          </w:rPr>
          <w:t xml:space="preserve">https://point72.com/market-intelligence/</w:t>
        </w:r>
      </w:hyperlink>
      <w:r w:rsidDel="00000000" w:rsidR="00000000" w:rsidRPr="00000000">
        <w:rPr>
          <w:rtl w:val="0"/>
        </w:rPr>
        <w:t xml:space="preserve"> · Point72 Data Sourcing &amp; Strategy role — </w:t>
      </w:r>
      <w:hyperlink r:id="rId28">
        <w:r w:rsidDel="00000000" w:rsidR="00000000" w:rsidRPr="00000000">
          <w:rPr>
            <w:color w:val="1155cc"/>
            <w:u w:val="single"/>
            <w:rtl w:val="0"/>
          </w:rPr>
          <w:t xml:space="preserve">https://job-boards.greenhouse.io/point72/jobs/8475068002</w:t>
        </w:r>
      </w:hyperlink>
      <w:r w:rsidDel="00000000" w:rsidR="00000000" w:rsidRPr="00000000">
        <w:rPr>
          <w:rtl w:val="0"/>
        </w:rPr>
        <w:t xml:space="preserve"> · D.E. Shaw Firmwide Market Data Lead — </w:t>
      </w:r>
      <w:hyperlink r:id="rId29">
        <w:r w:rsidDel="00000000" w:rsidR="00000000" w:rsidRPr="00000000">
          <w:rPr>
            <w:color w:val="1155cc"/>
            <w:u w:val="single"/>
            <w:rtl w:val="0"/>
          </w:rPr>
          <w:t xml:space="preserve">https://www.deshaw.com/careers/firmwide-market-data-lead-5571</w:t>
        </w:r>
      </w:hyperlink>
      <w:r w:rsidDel="00000000" w:rsidR="00000000" w:rsidRPr="00000000">
        <w:rPr>
          <w:rtl w:val="0"/>
        </w:rPr>
        <w:t xml:space="preserve"> · Millennium data scientist role — </w:t>
      </w:r>
      <w:hyperlink r:id="rId30">
        <w:r w:rsidDel="00000000" w:rsidR="00000000" w:rsidRPr="00000000">
          <w:rPr>
            <w:color w:val="1155cc"/>
            <w:u w:val="single"/>
            <w:rtl w:val="0"/>
          </w:rPr>
          <w:t xml:space="preserve">https://jobs.alooba.com/gb/job/millennium-management-data-scientist-equities-850653/</w:t>
        </w:r>
      </w:hyperlink>
      <w:r w:rsidDel="00000000" w:rsidR="00000000" w:rsidRPr="00000000">
        <w:rPr>
          <w:rtl w:val="0"/>
        </w:rPr>
        <w:t xml:space="preserve"> · Pershing Square S-1 — </w:t>
      </w:r>
      <w:hyperlink r:id="rId31">
        <w:r w:rsidDel="00000000" w:rsidR="00000000" w:rsidRPr="00000000">
          <w:rPr>
            <w:color w:val="1155cc"/>
            <w:u w:val="single"/>
            <w:rtl w:val="0"/>
          </w:rPr>
          <w:t xml:space="preserve">https://www.sec.gov/Archives/edgar/data/2026053/000114036126008560/ny20040230x14_s1.htm</w:t>
        </w:r>
      </w:hyperlink>
      <w:r w:rsidDel="00000000" w:rsidR="00000000" w:rsidRPr="00000000">
        <w:rPr>
          <w:rtl w:val="0"/>
        </w:rPr>
        <w:t xml:space="preserve"> · Snowflake provider onboarding — </w:t>
      </w:r>
      <w:hyperlink r:id="rId32">
        <w:r w:rsidDel="00000000" w:rsidR="00000000" w:rsidRPr="00000000">
          <w:rPr>
            <w:color w:val="1155cc"/>
            <w:u w:val="single"/>
            <w:rtl w:val="0"/>
          </w:rPr>
          <w:t xml:space="preserve">https://docs.snowflake.com/en/collaboration/provider-becoming</w:t>
        </w:r>
      </w:hyperlink>
      <w:r w:rsidDel="00000000" w:rsidR="00000000" w:rsidRPr="00000000">
        <w:rPr>
          <w:rtl w:val="0"/>
        </w:rPr>
      </w:r>
    </w:p>
    <w:p w:rsidR="00000000" w:rsidDel="00000000" w:rsidP="00000000" w:rsidRDefault="00000000" w:rsidRPr="00000000" w14:paraId="00000125">
      <w:pPr>
        <w:pStyle w:val="Heading2"/>
        <w:rPr/>
      </w:pPr>
      <w:bookmarkStart w:colFirst="0" w:colLast="0" w:name="_nyorbpbnnwno" w:id="17"/>
      <w:bookmarkEnd w:id="17"/>
      <w:r w:rsidDel="00000000" w:rsidR="00000000" w:rsidRPr="00000000">
        <w:rPr>
          <w:rtl w:val="0"/>
        </w:rPr>
        <w:t xml:space="preserve">Could not verify</w:t>
      </w:r>
    </w:p>
    <w:p w:rsidR="00000000" w:rsidDel="00000000" w:rsidP="00000000" w:rsidRDefault="00000000" w:rsidRPr="00000000" w14:paraId="00000126">
      <w:pPr>
        <w:rPr/>
      </w:pPr>
      <w:r w:rsidDel="00000000" w:rsidR="00000000" w:rsidRPr="00000000">
        <w:rPr>
          <w:rtl w:val="0"/>
        </w:rPr>
        <w:t xml:space="preserve">Any published minimum years of history (does not appear to exist); numeric IC / decay / capacity thresholds (proprietary); evaluation-to-onboarding conversion rates; market-standard exclusivity terms; whether a vendor redistributing CUSIP/ISIN needs its own identifier licence — </w:t>
      </w:r>
      <w:r w:rsidDel="00000000" w:rsidR="00000000" w:rsidRPr="00000000">
        <w:rPr>
          <w:b w:val="1"/>
          <w:bCs w:val="1"/>
          <w:rtl w:val="0"/>
        </w:rPr>
        <w:t xml:space="preserve">ask counsel, it is a known trap</w:t>
      </w:r>
      <w:r w:rsidDel="00000000" w:rsidR="00000000" w:rsidRPr="00000000">
        <w:rPr>
          <w:rtl w:val="0"/>
        </w:rPr>
        <w:t xml:space="preserve">; IDSO's current status; current heads of data sourcing at Millennium, Citadel and Coatue; the Griffin alt-data quote (second-hand, original video not reached); headcount for TCI, Appaloosa, D1 and Coatue.</w:t>
      </w:r>
    </w:p>
    <w:p w:rsidR="00000000" w:rsidDel="00000000" w:rsidP="00000000" w:rsidRDefault="00000000" w:rsidRPr="00000000" w14:paraId="0000012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neudata.co/education/data-provider-faqs" TargetMode="External"/><Relationship Id="rId22" Type="http://schemas.openxmlformats.org/officeDocument/2006/relationships/hyperlink" Target="https://www.neudata.co/education/how-to-sell-alternative-data-to-investment-managers" TargetMode="External"/><Relationship Id="rId21" Type="http://schemas.openxmlformats.org/officeDocument/2006/relationships/hyperlink" Target="https://www.neudata.co/press-release/alternative-data-spending-by-investment-management-firms-could-top-15-4bn-in-2025-according-to-neudata-s-latest-report" TargetMode="External"/><Relationship Id="rId24" Type="http://schemas.openxmlformats.org/officeDocument/2006/relationships/hyperlink" Target="https://www.battlefin.com/ensemble" TargetMode="External"/><Relationship Id="rId23" Type="http://schemas.openxmlformats.org/officeDocument/2006/relationships/hyperlink" Target="https://www.institutionalinvestor.com/article/2bsx5x6m2pew8jzgavmyo/corner-office/how-much-are-managers-paying-for-dat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isd.net/wp-content/uploads/2021/06/Data-Lineage-Learning-Point.pdf" TargetMode="External"/><Relationship Id="rId26" Type="http://schemas.openxmlformats.org/officeDocument/2006/relationships/hyperlink" Target="https://www.citadel.com/careers/career-perspectives/real-people-real-impact-how-alternative-data-powers-investment-decisions-at-citadel/" TargetMode="External"/><Relationship Id="rId25" Type="http://schemas.openxmlformats.org/officeDocument/2006/relationships/hyperlink" Target="https://www.lowenstein.com/media/11088/how-to-ensure-better-contracts-with-alternative-data-providers-1.pdf" TargetMode="External"/><Relationship Id="rId28" Type="http://schemas.openxmlformats.org/officeDocument/2006/relationships/hyperlink" Target="https://job-boards.greenhouse.io/point72/jobs/8475068002" TargetMode="External"/><Relationship Id="rId27" Type="http://schemas.openxmlformats.org/officeDocument/2006/relationships/hyperlink" Target="https://point72.com/market-intelligence/" TargetMode="External"/><Relationship Id="rId5" Type="http://schemas.openxmlformats.org/officeDocument/2006/relationships/styles" Target="styles.xml"/><Relationship Id="rId6" Type="http://schemas.openxmlformats.org/officeDocument/2006/relationships/hyperlink" Target="https://www.institutionalinvestor.com/article/hedge-funds/rich-list-institutional-investors-25th-annual-ranking-highest-earning-hedge" TargetMode="External"/><Relationship Id="rId29" Type="http://schemas.openxmlformats.org/officeDocument/2006/relationships/hyperlink" Target="https://www.deshaw.com/careers/firmwide-market-data-lead-5571" TargetMode="External"/><Relationship Id="rId7" Type="http://schemas.openxmlformats.org/officeDocument/2006/relationships/hyperlink" Target="https://fisd.net/alternative-data-council/" TargetMode="External"/><Relationship Id="rId8" Type="http://schemas.openxmlformats.org/officeDocument/2006/relationships/hyperlink" Target="https://fisd.net/wp-content/uploads/2021/06/Learning-Point-Point-in-Time.pdf" TargetMode="External"/><Relationship Id="rId31" Type="http://schemas.openxmlformats.org/officeDocument/2006/relationships/hyperlink" Target="https://www.sec.gov/Archives/edgar/data/2026053/000114036126008560/ny20040230x14_s1.htm" TargetMode="External"/><Relationship Id="rId30" Type="http://schemas.openxmlformats.org/officeDocument/2006/relationships/hyperlink" Target="https://jobs.alooba.com/gb/job/millennium-management-data-scientist-equities-850653/" TargetMode="External"/><Relationship Id="rId11" Type="http://schemas.openxmlformats.org/officeDocument/2006/relationships/hyperlink" Target="https://fisd.net/wp-content/uploads/2021/06/Learning-Point-MNPI-June-18-20-Alt-Data-Council.pdf" TargetMode="External"/><Relationship Id="rId10" Type="http://schemas.openxmlformats.org/officeDocument/2006/relationships/hyperlink" Target="https://fisd.net/wp-content/uploads/2021/06/FISD-Learning-Point-Identifiers-2.pdf" TargetMode="External"/><Relationship Id="rId32" Type="http://schemas.openxmlformats.org/officeDocument/2006/relationships/hyperlink" Target="https://docs.snowflake.com/en/collaboration/provider-becoming" TargetMode="External"/><Relationship Id="rId13" Type="http://schemas.openxmlformats.org/officeDocument/2006/relationships/hyperlink" Target="https://www.sbai.org/static/ed728b0e-beca-45af-bc40f2dff1a4d6df/Standard-Data-Trial-Agreement-6-February-2019.pdf" TargetMode="External"/><Relationship Id="rId12" Type="http://schemas.openxmlformats.org/officeDocument/2006/relationships/hyperlink" Target="https://github.com/siia-fisd/altdata-council" TargetMode="External"/><Relationship Id="rId15" Type="http://schemas.openxmlformats.org/officeDocument/2006/relationships/hyperlink" Target="https://www.akingump.com/en/insights/alerts/sec-division-of-examinations-finally-speaks-on-alternative-data" TargetMode="External"/><Relationship Id="rId14" Type="http://schemas.openxmlformats.org/officeDocument/2006/relationships/hyperlink" Target="https://www.sec.gov/news/press-release/2021-176" TargetMode="External"/><Relationship Id="rId17" Type="http://schemas.openxmlformats.org/officeDocument/2006/relationships/hyperlink" Target="https://cpb-us-e2.wpmucdn.com/faculty.sites.uci.edu/dist/2/51/files/2018/05/JPM-2017-MachineLearningInvestments.pdf" TargetMode="External"/><Relationship Id="rId16" Type="http://schemas.openxmlformats.org/officeDocument/2006/relationships/hyperlink" Target="https://www.aima.org/static/8778b1e4-75c3-44e4-b35dc38e1495001e/Casting-The-Net-v10.pdf" TargetMode="External"/><Relationship Id="rId19" Type="http://schemas.openxmlformats.org/officeDocument/2006/relationships/hyperlink" Target="https://www.eaglealpha.com/alternative-data-provider-complete-guide/" TargetMode="External"/><Relationship Id="rId18" Type="http://schemas.openxmlformats.org/officeDocument/2006/relationships/hyperlink" Target="https://www.deloitte.com/us/en/insights/industry/financial-services/alternative-data-for-investors-from-discovery-to-institutionalization.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