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6ytmpqd4tfz" w:id="0"/>
      <w:bookmarkEnd w:id="0"/>
      <w:r w:rsidDel="00000000" w:rsidR="00000000" w:rsidRPr="00000000">
        <w:rPr>
          <w:rtl w:val="0"/>
        </w:rPr>
        <w:t xml:space="preserve">The Two Poles of Edge — TCI / Medallion, and what NowTrendIn can implement</w:t>
      </w:r>
    </w:p>
    <w:p w:rsidR="00000000" w:rsidDel="00000000" w:rsidP="00000000" w:rsidRDefault="00000000" w:rsidRPr="00000000" w14:paraId="00000002">
      <w:pPr>
        <w:rPr/>
      </w:pPr>
      <w:r w:rsidDel="00000000" w:rsidR="00000000" w:rsidRPr="00000000">
        <w:rPr>
          <w:b w:val="1"/>
          <w:bCs w:val="1"/>
          <w:rtl w:val="0"/>
        </w:rPr>
        <w:t xml:space="preserve">Prepared:</w:t>
      </w:r>
      <w:r w:rsidDel="00000000" w:rsidR="00000000" w:rsidRPr="00000000">
        <w:rPr>
          <w:rtl w:val="0"/>
        </w:rPr>
        <w:t xml:space="preserve"> 2026-08-09 · Companion to </w:t>
      </w:r>
      <w:r w:rsidDel="00000000" w:rsidR="00000000" w:rsidRPr="00000000">
        <w:rPr>
          <w:rFonts w:ascii="Roboto Mono" w:cs="Roboto Mono" w:eastAsia="Roboto Mono" w:hAnsi="Roboto Mono"/>
          <w:color w:val="188038"/>
          <w:rtl w:val="0"/>
        </w:rPr>
        <w:t xml:space="preserve">GRIFFIN_SEAT_2026-08-09.md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3jn1acyxwedn" w:id="1"/>
      <w:bookmarkEnd w:id="1"/>
      <w:r w:rsidDel="00000000" w:rsidR="00000000" w:rsidRPr="00000000">
        <w:rPr>
          <w:rtl w:val="0"/>
        </w:rPr>
        <w:t xml:space="preserve">The framing that matters more than either fund</w:t>
      </w:r>
    </w:p>
    <w:p w:rsidR="00000000" w:rsidDel="00000000" w:rsidP="00000000" w:rsidRDefault="00000000" w:rsidRPr="00000000" w14:paraId="00000006">
      <w:pPr>
        <w:rPr/>
      </w:pPr>
      <w:r w:rsidDel="00000000" w:rsidR="00000000" w:rsidRPr="00000000">
        <w:rPr>
          <w:rtl w:val="0"/>
        </w:rPr>
        <w:t xml:space="preserve">The source you cited lists TCI under </w:t>
      </w:r>
      <w:r w:rsidDel="00000000" w:rsidR="00000000" w:rsidRPr="00000000">
        <w:rPr>
          <w:b w:val="1"/>
          <w:bCs w:val="1"/>
          <w:rtl w:val="0"/>
        </w:rPr>
        <w:t xml:space="preserve">"Highest Recent Annual Gains"</w:t>
      </w:r>
      <w:r w:rsidDel="00000000" w:rsidR="00000000" w:rsidRPr="00000000">
        <w:rPr>
          <w:rtl w:val="0"/>
        </w:rPr>
        <w:t xml:space="preserve"> and Medallion under </w:t>
      </w:r>
      <w:r w:rsidDel="00000000" w:rsidR="00000000" w:rsidRPr="00000000">
        <w:rPr>
          <w:b w:val="1"/>
          <w:bCs w:val="1"/>
          <w:rtl w:val="0"/>
        </w:rPr>
        <w:t xml:space="preserve">"Percentage Returns / Track Record."</w:t>
      </w:r>
      <w:r w:rsidDel="00000000" w:rsidR="00000000" w:rsidRPr="00000000">
        <w:rPr>
          <w:rtl w:val="0"/>
        </w:rPr>
        <w:t xml:space="preserve"> That is not two entries on one list. </w:t>
      </w:r>
      <w:r w:rsidDel="00000000" w:rsidR="00000000" w:rsidRPr="00000000">
        <w:rPr>
          <w:b w:val="1"/>
          <w:bCs w:val="1"/>
          <w:rtl w:val="0"/>
        </w:rPr>
        <w:t xml:space="preserve">Those are two different metrics measuring two incompatible strategies, and no fund can lead both.</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TCI's $18.9B is a dollar figure — a function of being large.</w:t>
      </w:r>
      <w:r w:rsidDel="00000000" w:rsidR="00000000" w:rsidRPr="00000000">
        <w:rPr>
          <w:rtl w:val="0"/>
        </w:rPr>
        <w:t xml:space="preserve"> ~$77B AUM, 27% net.</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Medallion's ~39% net average is a percentage — a function of staying small.</w:t>
      </w:r>
      <w:r w:rsidDel="00000000" w:rsidR="00000000" w:rsidRPr="00000000">
        <w:rPr>
          <w:rtl w:val="0"/>
        </w:rPr>
        <w:t xml:space="preserve"> Capped at $10B and closed to outside money since 2005.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Medallion could never produce TCI's dollar number, because it refuses the size. TCI could never produce Medallion's percentage, because size is what generates its dollars. </w:t>
      </w:r>
      <w:r w:rsidDel="00000000" w:rsidR="00000000" w:rsidRPr="00000000">
        <w:rPr>
          <w:b w:val="1"/>
          <w:bCs w:val="1"/>
          <w:rtl w:val="0"/>
        </w:rPr>
        <w:t xml:space="preserve">The first implementable lesson is that "best" is a metric choice, and choosing the metric chooses the strategy.</w:t>
      </w:r>
      <w:r w:rsidDel="00000000" w:rsidR="00000000" w:rsidRPr="00000000">
        <w:rPr>
          <w:rtl w:val="0"/>
        </w:rPr>
        <w:t xml:space="preserve"> Before NowTrendIn optimizes anything, it has to say which one it is claiming.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pv5jo2orzxx" w:id="2"/>
      <w:bookmarkEnd w:id="2"/>
      <w:r w:rsidDel="00000000" w:rsidR="00000000" w:rsidRPr="00000000">
        <w:rPr>
          <w:rtl w:val="0"/>
        </w:rPr>
        <w:t xml:space="preserve">Part 1 — Provenance first (and this is itself the biggest lesson)</w:t>
      </w:r>
    </w:p>
    <w:p w:rsidR="00000000" w:rsidDel="00000000" w:rsidP="00000000" w:rsidRDefault="00000000" w:rsidRPr="00000000" w14:paraId="0000000F">
      <w:pPr>
        <w:rPr/>
      </w:pPr>
      <w:r w:rsidDel="00000000" w:rsidR="00000000" w:rsidRPr="00000000">
        <w:rPr>
          <w:b w:val="1"/>
          <w:bCs w:val="1"/>
          <w:rtl w:val="0"/>
        </w:rPr>
        <w:t xml:space="preserve">Nearly everything anyone "knows" about Medallion traces to one source: Appendix 1 of Gregory Zuckerman's 2019 book.</w:t>
      </w:r>
      <w:r w:rsidDel="00000000" w:rsidR="00000000" w:rsidRPr="00000000">
        <w:rPr>
          <w:rtl w:val="0"/>
        </w:rPr>
        <w:t xml:space="preserve"> Bradford Cornell's </w:t>
      </w:r>
      <w:r w:rsidDel="00000000" w:rsidR="00000000" w:rsidRPr="00000000">
        <w:rPr>
          <w:i w:val="1"/>
          <w:iCs w:val="1"/>
          <w:rtl w:val="0"/>
        </w:rPr>
        <w:t xml:space="preserve">Journal of Portfolio Management</w:t>
      </w:r>
      <w:r w:rsidDel="00000000" w:rsidR="00000000" w:rsidRPr="00000000">
        <w:rPr>
          <w:rtl w:val="0"/>
        </w:rPr>
        <w:t xml:space="preserve"> paper — the thing people cite to make it feel peer-reviewed — </w:t>
      </w:r>
      <w:r w:rsidDel="00000000" w:rsidR="00000000" w:rsidRPr="00000000">
        <w:rPr>
          <w:b w:val="1"/>
          <w:bCs w:val="1"/>
          <w:rtl w:val="0"/>
        </w:rPr>
        <w:t xml:space="preserve">uses Zuckerman's appendix as its sole data input.</w:t>
      </w:r>
      <w:r w:rsidDel="00000000" w:rsidR="00000000" w:rsidRPr="00000000">
        <w:rPr>
          <w:rtl w:val="0"/>
        </w:rPr>
        <w:t xml:space="preserve"> It is an analysis </w:t>
      </w:r>
      <w:r w:rsidDel="00000000" w:rsidR="00000000" w:rsidRPr="00000000">
        <w:rPr>
          <w:i w:val="1"/>
          <w:iCs w:val="1"/>
          <w:rtl w:val="0"/>
        </w:rPr>
        <w:t xml:space="preserve">of</w:t>
      </w:r>
      <w:r w:rsidDel="00000000" w:rsidR="00000000" w:rsidRPr="00000000">
        <w:rPr>
          <w:rtl w:val="0"/>
        </w:rPr>
        <w:t xml:space="preserve"> the journalism, not corroboration </w:t>
      </w:r>
      <w:r w:rsidDel="00000000" w:rsidR="00000000" w:rsidRPr="00000000">
        <w:rPr>
          <w:i w:val="1"/>
          <w:iCs w:val="1"/>
          <w:rtl w:val="0"/>
        </w:rPr>
        <w:t xml:space="preserve">for</w:t>
      </w:r>
      <w:r w:rsidDel="00000000" w:rsidR="00000000" w:rsidRPr="00000000">
        <w:rPr>
          <w:rtl w:val="0"/>
        </w:rPr>
        <w:t xml:space="preserve"> it. There is no audited, filing-based public record of Medallion's returns; no audit has ever been released.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Folklore that should never appear in our materials: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Circulated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What the sources actually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"66% annualized"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Arithmetic average</w:t>
            </w:r>
            <w:r w:rsidDel="00000000" w:rsidR="00000000" w:rsidRPr="00000000">
              <w:rPr>
                <w:rtl w:val="0"/>
              </w:rPr>
              <w:t xml:space="preserve">, not CAGR. Compound gross is 63.3%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Arial Unicode MS" w:cs="Arial Unicode MS" w:eastAsia="Arial Unicode MS" w:hAnsi="Arial Unicode MS"/>
                <w:rtl w:val="0"/>
              </w:rPr>
              <w:t xml:space="preserve">"$100 → $398.7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 </w:t>
            </w:r>
            <w:r w:rsidDel="00000000" w:rsidR="00000000" w:rsidRPr="00000000">
              <w:rPr>
                <w:b w:val="1"/>
                <w:bCs w:val="1"/>
                <w:rtl w:val="0"/>
              </w:rPr>
              <w:t xml:space="preserve">counterfactual about a fund that never existed</w:t>
            </w:r>
            <w:r w:rsidDel="00000000" w:rsidR="00000000" w:rsidRPr="00000000">
              <w:rPr>
                <w:rtl w:val="0"/>
              </w:rPr>
              <w:t xml:space="preserve"> — the cap and mandatory annual distributions make compounding impossible. Also gross; net is ~$2.1M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"5 and 44 since inception"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20% performance fee to 2000, </w:t>
            </w:r>
            <w:r w:rsidDel="00000000" w:rsidR="00000000" w:rsidRPr="00000000">
              <w:rPr>
                <w:b w:val="1"/>
                <w:bCs w:val="1"/>
                <w:rtl w:val="0"/>
              </w:rPr>
              <w:t xml:space="preserve">36% in 2001, 44% only from 2002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"50.75% win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 </w:t>
            </w:r>
            <w:r w:rsidDel="00000000" w:rsidR="00000000" w:rsidRPr="00000000">
              <w:rPr>
                <w:b w:val="1"/>
                <w:bCs w:val="1"/>
                <w:rtl w:val="0"/>
              </w:rPr>
              <w:t xml:space="preserve">Robert Mercer quip</w:t>
            </w:r>
            <w:r w:rsidDel="00000000" w:rsidR="00000000" w:rsidRPr="00000000">
              <w:rPr>
                <w:rtl w:val="0"/>
              </w:rPr>
              <w:t xml:space="preserve"> quoted in a book — no date, no scope, no definition of "trade." Not a measured statistic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"They never override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CEO Peter Brown: "we don't interfere… </w:t>
            </w:r>
            <w:r w:rsidDel="00000000" w:rsidR="00000000" w:rsidRPr="00000000">
              <w:rPr>
                <w:b w:val="1"/>
                <w:bCs w:val="1"/>
                <w:rtl w:val="0"/>
              </w:rPr>
              <w:t xml:space="preserve">[but] there are a few occasions</w:t>
            </w:r>
            <w:r w:rsidDel="00000000" w:rsidR="00000000" w:rsidRPr="00000000">
              <w:rPr>
                <w:rtl w:val="0"/>
              </w:rPr>
              <w:t xml:space="preserve"> where something's going on in the world and so we'll cut back." Zuckerman documents Simons overriding in 1987, the Iraq invasion, and 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"Data back to the 1700s"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Sourced claim is the </w:t>
            </w:r>
            <w:r w:rsidDel="00000000" w:rsidR="00000000" w:rsidRPr="00000000">
              <w:rPr>
                <w:b w:val="1"/>
                <w:bCs w:val="1"/>
                <w:rtl w:val="0"/>
              </w:rPr>
              <w:t xml:space="preserve">1800s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"Capped at $15B"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Unsourced. Documented figure is </w:t>
            </w:r>
            <w:r w:rsidDel="00000000" w:rsidR="00000000" w:rsidRPr="00000000">
              <w:rPr>
                <w:b w:val="1"/>
                <w:bCs w:val="1"/>
                <w:rtl w:val="0"/>
              </w:rPr>
              <w:t xml:space="preserve">$10B (2018)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"Closed since 1993"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Closed to </w:t>
            </w:r>
            <w:r w:rsidDel="00000000" w:rsidR="00000000" w:rsidRPr="00000000">
              <w:rPr>
                <w:b w:val="1"/>
                <w:bCs w:val="1"/>
                <w:rtl w:val="0"/>
              </w:rPr>
              <w:t xml:space="preserve">new</w:t>
            </w:r>
            <w:r w:rsidDel="00000000" w:rsidR="00000000" w:rsidRPr="00000000">
              <w:rPr>
                <w:rtl w:val="0"/>
              </w:rPr>
              <w:t xml:space="preserve"> money 1993; </w:t>
            </w:r>
            <w:r w:rsidDel="00000000" w:rsidR="00000000" w:rsidRPr="00000000">
              <w:rPr>
                <w:b w:val="1"/>
                <w:bCs w:val="1"/>
                <w:rtl w:val="0"/>
              </w:rPr>
              <w:t xml:space="preserve">fully</w:t>
            </w:r>
            <w:r w:rsidDel="00000000" w:rsidR="00000000" w:rsidRPr="00000000">
              <w:rPr>
                <w:rtl w:val="0"/>
              </w:rPr>
              <w:t xml:space="preserve"> closed 2005</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And there is a live academic challenge.</w:t>
      </w:r>
      <w:r w:rsidDel="00000000" w:rsidR="00000000" w:rsidRPr="00000000">
        <w:rPr>
          <w:rtl w:val="0"/>
        </w:rPr>
        <w:t xml:space="preserve"> Guo &amp; Liu (arXiv 2405.10917, 2024) argue it is incorrect to compound the yearly figures directly, and estimate </w:t>
      </w:r>
      <w:r w:rsidDel="00000000" w:rsidR="00000000" w:rsidRPr="00000000">
        <w:rPr>
          <w:b w:val="1"/>
          <w:bCs w:val="1"/>
          <w:rtl w:val="0"/>
        </w:rPr>
        <w:t xml:space="preserve">31.8% before fees</w:t>
      </w:r>
      <w:r w:rsidDel="00000000" w:rsidR="00000000" w:rsidRPr="00000000">
        <w:rPr>
          <w:rtl w:val="0"/>
        </w:rPr>
        <w:t xml:space="preserve"> from fund size and trading profit data — "probably under 35%." If that holds, the net figure is far below 39%.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This is a mirror, not a footnote.</w:t>
      </w:r>
      <w:r w:rsidDel="00000000" w:rsidR="00000000" w:rsidRPr="00000000">
        <w:rPr>
          <w:rtl w:val="0"/>
        </w:rPr>
        <w:t xml:space="preserve"> NowTrendIn publishes accuracy numbers. Medallion is the case study of what happens to an impressive, unauditable track record: it hardens into folklore through repetition, and then somebody writes the arXiv paper. Our ledger's held-out, never-deleted, 365-day-retained design is the answer to exactly this failure — and it is worth saying out loud that </w:t>
      </w:r>
      <w:r w:rsidDel="00000000" w:rsidR="00000000" w:rsidRPr="00000000">
        <w:rPr>
          <w:b w:val="1"/>
          <w:bCs w:val="1"/>
          <w:rtl w:val="0"/>
        </w:rPr>
        <w:t xml:space="preserve">auditability is the feature, not the compliance overhead.</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ind w:left="600" w:right="600" w:firstLine="0"/>
        <w:rPr/>
      </w:pPr>
      <w:r w:rsidDel="00000000" w:rsidR="00000000" w:rsidRPr="00000000">
        <w:rPr>
          <w:b w:val="1"/>
          <w:bCs w:val="1"/>
          <w:rtl w:val="0"/>
        </w:rPr>
        <w:t xml:space="preserve">Proposed mechanic — PROVENANCE GRADE.</w:t>
      </w:r>
      <w:r w:rsidDel="00000000" w:rsidR="00000000" w:rsidRPr="00000000">
        <w:rPr>
          <w:rtl w:val="0"/>
        </w:rPr>
        <w:t xml:space="preserve"> Every published accuracy number carries a grade: A = reproducible from the sealed ledger by a third party; B = reproducible internally; C = reported, not reproducible. Nothing below A goes in marketing.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ymx2i9w37gyy" w:id="3"/>
      <w:bookmarkEnd w:id="3"/>
      <w:r w:rsidDel="00000000" w:rsidR="00000000" w:rsidRPr="00000000">
        <w:rPr>
          <w:rtl w:val="0"/>
        </w:rPr>
        <w:t xml:space="preserve">Part 2 — The Medallion pole: small edge, enormous repetition, hard ceiling</w:t>
      </w:r>
    </w:p>
    <w:p w:rsidR="00000000" w:rsidDel="00000000" w:rsidP="00000000" w:rsidRDefault="00000000" w:rsidRPr="00000000" w14:paraId="0000002E">
      <w:pPr>
        <w:pStyle w:val="Heading3"/>
        <w:rPr/>
      </w:pPr>
      <w:bookmarkStart w:colFirst="0" w:colLast="0" w:name="_2f0dxob6am9m" w:id="4"/>
      <w:bookmarkEnd w:id="4"/>
      <w:r w:rsidDel="00000000" w:rsidR="00000000" w:rsidRPr="00000000">
        <w:rPr>
          <w:rtl w:val="0"/>
        </w:rPr>
        <w:t xml:space="preserve">M-1 · The moat was the DATA, not the math. This is the single most transferable fact here.</w:t>
      </w:r>
    </w:p>
    <w:p w:rsidR="00000000" w:rsidDel="00000000" w:rsidP="00000000" w:rsidRDefault="00000000" w:rsidRPr="00000000" w14:paraId="0000002F">
      <w:pPr>
        <w:rPr/>
      </w:pPr>
      <w:r w:rsidDel="00000000" w:rsidR="00000000" w:rsidRPr="00000000">
        <w:rPr>
          <w:rtl w:val="0"/>
        </w:rPr>
        <w:t xml:space="preserve">Sandor Straus bought historic commodity price data </w:t>
      </w:r>
      <w:r w:rsidDel="00000000" w:rsidR="00000000" w:rsidRPr="00000000">
        <w:rPr>
          <w:b w:val="1"/>
          <w:bCs w:val="1"/>
          <w:rtl w:val="0"/>
        </w:rPr>
        <w:t xml:space="preserve">on magnetic tape</w:t>
      </w:r>
      <w:r w:rsidDel="00000000" w:rsidR="00000000" w:rsidRPr="00000000">
        <w:rPr>
          <w:rtl w:val="0"/>
        </w:rPr>
        <w:t xml:space="preserve"> from an Indiana firm, merged it with in-house records, and accumulated </w:t>
      </w:r>
      <w:r w:rsidDel="00000000" w:rsidR="00000000" w:rsidRPr="00000000">
        <w:rPr>
          <w:b w:val="1"/>
          <w:bCs w:val="1"/>
          <w:rtl w:val="0"/>
        </w:rPr>
        <w:t xml:space="preserve">weekly stock trading data back to the 1800s</w:t>
      </w:r>
      <w:r w:rsidDel="00000000" w:rsidR="00000000" w:rsidRPr="00000000">
        <w:rPr>
          <w:rtl w:val="0"/>
        </w:rPr>
        <w:t xml:space="preserve"> — material almost nobody else had. He then verified it against exchange yearbooks, the </w:t>
      </w:r>
      <w:r w:rsidDel="00000000" w:rsidR="00000000" w:rsidRPr="00000000">
        <w:rPr>
          <w:i w:val="1"/>
          <w:iCs w:val="1"/>
          <w:rtl w:val="0"/>
        </w:rPr>
        <w:t xml:space="preserve">Wall Street Journal</w:t>
      </w:r>
      <w:r w:rsidDel="00000000" w:rsidR="00000000" w:rsidRPr="00000000">
        <w:rPr>
          <w:rtl w:val="0"/>
        </w:rPr>
        <w:t xml:space="preserve">, and anything else he could find, and the team "dove into anomalies and omissions with religious zeal." Zuckerman's summary: they cleaned it until </w:t>
      </w:r>
      <w:r w:rsidDel="00000000" w:rsidR="00000000" w:rsidRPr="00000000">
        <w:rPr>
          <w:b w:val="1"/>
          <w:bCs w:val="1"/>
          <w:rtl w:val="0"/>
        </w:rPr>
        <w:t xml:space="preserve">they simply had more accurate data than anyone else.</w:t>
      </w:r>
      <w:r w:rsidDel="00000000" w:rsidR="00000000" w:rsidRPr="00000000">
        <w:rPr>
          <w:rtl w:val="0"/>
        </w:rPr>
        <w:t xml:space="preserve"> By 2001 they were adding a terabyte a year.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That is </w:t>
      </w:r>
      <w:r w:rsidDel="00000000" w:rsidR="00000000" w:rsidRPr="00000000">
        <w:rPr>
          <w:rFonts w:ascii="Roboto Mono" w:cs="Roboto Mono" w:eastAsia="Roboto Mono" w:hAnsi="Roboto Mono"/>
          <w:b w:val="1"/>
          <w:bCs w:val="1"/>
          <w:color w:val="188038"/>
          <w:rtl w:val="0"/>
        </w:rPr>
        <w:t xml:space="preserve">hist_store.py</w:t>
      </w:r>
      <w:r w:rsidDel="00000000" w:rsidR="00000000" w:rsidRPr="00000000">
        <w:rPr>
          <w:b w:val="1"/>
          <w:bCs w:val="1"/>
          <w:rtl w:val="0"/>
        </w:rPr>
        <w:t xml:space="preserve">.</w:t>
      </w:r>
      <w:r w:rsidDel="00000000" w:rsidR="00000000" w:rsidRPr="00000000">
        <w:rPr>
          <w:rtl w:val="0"/>
        </w:rPr>
        <w:t xml:space="preserve"> The bitemporal </w:t>
      </w:r>
      <w:r w:rsidDel="00000000" w:rsidR="00000000" w:rsidRPr="00000000">
        <w:rPr>
          <w:rFonts w:ascii="Roboto Mono" w:cs="Roboto Mono" w:eastAsia="Roboto Mono" w:hAnsi="Roboto Mono"/>
          <w:color w:val="188038"/>
          <w:rtl w:val="0"/>
        </w:rPr>
        <w:t xml:space="preserve">event_date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knowable_at</w:t>
      </w:r>
      <w:r w:rsidDel="00000000" w:rsidR="00000000" w:rsidRPr="00000000">
        <w:rPr>
          <w:rtl w:val="0"/>
        </w:rPr>
        <w:t xml:space="preserve"> split, the </w:t>
      </w:r>
      <w:r w:rsidDel="00000000" w:rsidR="00000000" w:rsidRPr="00000000">
        <w:rPr>
          <w:rFonts w:ascii="Roboto Mono" w:cs="Roboto Mono" w:eastAsia="Roboto Mono" w:hAnsi="Roboto Mono"/>
          <w:color w:val="188038"/>
          <w:rtl w:val="0"/>
        </w:rPr>
        <w:t xml:space="preserve">ingestion_gate.py</w:t>
      </w:r>
      <w:r w:rsidDel="00000000" w:rsidR="00000000" w:rsidRPr="00000000">
        <w:rPr>
          <w:rtl w:val="0"/>
        </w:rPr>
        <w:t xml:space="preserve"> quarantine to </w:t>
      </w:r>
      <w:r w:rsidDel="00000000" w:rsidR="00000000" w:rsidRPr="00000000">
        <w:rPr>
          <w:rFonts w:ascii="Roboto Mono" w:cs="Roboto Mono" w:eastAsia="Roboto Mono" w:hAnsi="Roboto Mono"/>
          <w:color w:val="188038"/>
          <w:rtl w:val="0"/>
        </w:rPr>
        <w:t xml:space="preserve">format_review_queue</w:t>
      </w:r>
      <w:r w:rsidDel="00000000" w:rsidR="00000000" w:rsidRPr="00000000">
        <w:rPr>
          <w:rtl w:val="0"/>
        </w:rPr>
        <w:t xml:space="preserve">, the append-only triggers — that work is not infrastructure overhead standing between us and the interesting part. On the record of the most successful fund in history, </w:t>
      </w:r>
      <w:r w:rsidDel="00000000" w:rsidR="00000000" w:rsidRPr="00000000">
        <w:rPr>
          <w:b w:val="1"/>
          <w:bCs w:val="1"/>
          <w:rtl w:val="0"/>
        </w:rPr>
        <w:t xml:space="preserve">it was the interesting part.</w:t>
      </w:r>
      <w:r w:rsidDel="00000000" w:rsidR="00000000" w:rsidRPr="00000000">
        <w:rPr>
          <w:rtl w:val="0"/>
        </w:rPr>
        <w:t xml:space="preserve"> Fund the data cleaning like it is the product, because at Renaissance it was.</w:t>
      </w:r>
    </w:p>
    <w:p w:rsidR="00000000" w:rsidDel="00000000" w:rsidP="00000000" w:rsidRDefault="00000000" w:rsidRPr="00000000" w14:paraId="00000032">
      <w:pPr>
        <w:pStyle w:val="Heading3"/>
        <w:rPr/>
      </w:pPr>
      <w:bookmarkStart w:colFirst="0" w:colLast="0" w:name="_svrba8y5ynpn" w:id="5"/>
      <w:bookmarkEnd w:id="5"/>
      <w:r w:rsidDel="00000000" w:rsidR="00000000" w:rsidRPr="00000000">
        <w:rPr>
          <w:rtl w:val="0"/>
        </w:rPr>
        <w:t xml:space="preserve">M-2 · The edge does not have to be large. It has to be real and repeatable.</w:t>
      </w:r>
    </w:p>
    <w:p w:rsidR="00000000" w:rsidDel="00000000" w:rsidP="00000000" w:rsidRDefault="00000000" w:rsidRPr="00000000" w14:paraId="00000033">
      <w:pPr>
        <w:rPr/>
      </w:pPr>
      <w:r w:rsidDel="00000000" w:rsidR="00000000" w:rsidRPr="00000000">
        <w:rPr>
          <w:rtl w:val="0"/>
        </w:rPr>
        <w:t xml:space="preserve">Mercer's remark — </w:t>
      </w:r>
      <w:r w:rsidDel="00000000" w:rsidR="00000000" w:rsidRPr="00000000">
        <w:rPr>
          <w:i w:val="1"/>
          <w:iCs w:val="1"/>
          <w:rtl w:val="0"/>
        </w:rPr>
        <w:t xml:space="preserve">"we're right 50.75 percent of the time, but we're 100 percent right 50.75 percent of the time"</w:t>
      </w:r>
      <w:r w:rsidDel="00000000" w:rsidR="00000000" w:rsidRPr="00000000">
        <w:rPr>
          <w:rtl w:val="0"/>
        </w:rPr>
        <w:t xml:space="preserve"> — is rhetorically overused but directionally sound: holding times of a day and a half to a week and a half, 150,000–300,000 trades a day. A microscopic per-instance edge, harvested a colossal number of times.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rtl w:val="0"/>
        </w:rPr>
        <w:t xml:space="preserve">Applied:</w:t>
      </w:r>
      <w:r w:rsidDel="00000000" w:rsidR="00000000" w:rsidRPr="00000000">
        <w:rPr>
          <w:rtl w:val="0"/>
        </w:rPr>
        <w:t xml:space="preserve"> stop hunting for a dramatic Gradient Score hit rate. A signal that is genuinely 55% right across ten thousand scored events is worth more than one that is 80% right across forty. </w:t>
      </w:r>
      <w:r w:rsidDel="00000000" w:rsidR="00000000" w:rsidRPr="00000000">
        <w:rPr>
          <w:b w:val="1"/>
          <w:bCs w:val="1"/>
          <w:rtl w:val="0"/>
        </w:rPr>
        <w:t xml:space="preserve">Report N alongside every accuracy figure</w:t>
      </w:r>
      <w:r w:rsidDel="00000000" w:rsidR="00000000" w:rsidRPr="00000000">
        <w:rPr>
          <w:rtl w:val="0"/>
        </w:rPr>
        <w:t xml:space="preserve">, always, without being asked.</w:t>
      </w:r>
    </w:p>
    <w:p w:rsidR="00000000" w:rsidDel="00000000" w:rsidP="00000000" w:rsidRDefault="00000000" w:rsidRPr="00000000" w14:paraId="00000036">
      <w:pPr>
        <w:pStyle w:val="Heading3"/>
        <w:rPr/>
      </w:pPr>
      <w:bookmarkStart w:colFirst="0" w:colLast="0" w:name="_6wayas8uhyzg" w:id="6"/>
      <w:bookmarkEnd w:id="6"/>
      <w:r w:rsidDel="00000000" w:rsidR="00000000" w:rsidRPr="00000000">
        <w:rPr>
          <w:rtl w:val="0"/>
        </w:rPr>
        <w:t xml:space="preserve">M-3 · CAPACITY IS A HARD CEILING — and this is the product risk nobody has raised.</w:t>
      </w:r>
    </w:p>
    <w:p w:rsidR="00000000" w:rsidDel="00000000" w:rsidP="00000000" w:rsidRDefault="00000000" w:rsidRPr="00000000" w14:paraId="00000037">
      <w:pPr>
        <w:rPr/>
      </w:pPr>
      <w:r w:rsidDel="00000000" w:rsidR="00000000" w:rsidRPr="00000000">
        <w:rPr>
          <w:rtl w:val="0"/>
        </w:rPr>
        <w:t xml:space="preserve">Medallion's assets sat flat at roughly </w:t>
      </w:r>
      <w:r w:rsidDel="00000000" w:rsidR="00000000" w:rsidRPr="00000000">
        <w:rPr>
          <w:b w:val="1"/>
          <w:bCs w:val="1"/>
          <w:rtl w:val="0"/>
        </w:rPr>
        <w:t xml:space="preserve">$10 billion for nine consecutive years while netting above 29% every single year.</w:t>
      </w:r>
      <w:r w:rsidDel="00000000" w:rsidR="00000000" w:rsidRPr="00000000">
        <w:rPr>
          <w:rtl w:val="0"/>
        </w:rPr>
        <w:t xml:space="preserve"> That cannot happen by accident; it is a deliberate cap maintained by distributing profits annually. Renaissance concluded the strategy simply does not survive more capital.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The NowTrendIn analogue is uncomfortable and should be examined seriously.</w:t>
      </w:r>
      <w:r w:rsidDel="00000000" w:rsidR="00000000" w:rsidRPr="00000000">
        <w:rPr>
          <w:rtl w:val="0"/>
        </w:rPr>
        <w:t xml:space="preserve"> If the Gradient Score works partly </w:t>
      </w:r>
      <w:r w:rsidDel="00000000" w:rsidR="00000000" w:rsidRPr="00000000">
        <w:rPr>
          <w:i w:val="1"/>
          <w:iCs w:val="1"/>
          <w:rtl w:val="0"/>
        </w:rPr>
        <w:t xml:space="preserve">because</w:t>
      </w:r>
      <w:r w:rsidDel="00000000" w:rsidR="00000000" w:rsidRPr="00000000">
        <w:rPr>
          <w:rtl w:val="0"/>
        </w:rPr>
        <w:t xml:space="preserve"> few people are acting on the signal, then </w:t>
      </w:r>
      <w:r w:rsidDel="00000000" w:rsidR="00000000" w:rsidRPr="00000000">
        <w:rPr>
          <w:b w:val="1"/>
          <w:bCs w:val="1"/>
          <w:rtl w:val="0"/>
        </w:rPr>
        <w:t xml:space="preserve">distribution is self-limiting</w:t>
      </w:r>
      <w:r w:rsidDel="00000000" w:rsidR="00000000" w:rsidRPr="00000000">
        <w:rPr>
          <w:rtl w:val="0"/>
        </w:rPr>
        <w:t xml:space="preserve"> — publishing it to enough users changes the thing being measured. Attention signals in particular are reflexive: surfacing a topic to a large audience is itself an attention event. This is separate from and more dangerous than the non-circularity rule already handled by excluding N, because it operates </w:t>
      </w:r>
      <w:r w:rsidDel="00000000" w:rsidR="00000000" w:rsidRPr="00000000">
        <w:rPr>
          <w:i w:val="1"/>
          <w:iCs w:val="1"/>
          <w:rtl w:val="0"/>
        </w:rPr>
        <w:t xml:space="preserve">outside</w:t>
      </w:r>
      <w:r w:rsidDel="00000000" w:rsidR="00000000" w:rsidRPr="00000000">
        <w:rPr>
          <w:rtl w:val="0"/>
        </w:rPr>
        <w:t xml:space="preserve"> the platform, in the market.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ind w:left="600" w:right="600" w:firstLine="0"/>
        <w:rPr/>
      </w:pPr>
      <w:r w:rsidDel="00000000" w:rsidR="00000000" w:rsidRPr="00000000">
        <w:rPr>
          <w:b w:val="1"/>
          <w:bCs w:val="1"/>
          <w:rtl w:val="0"/>
        </w:rPr>
        <w:t xml:space="preserve">Proposed mechanic — CAPACITY REGISTER.</w:t>
      </w:r>
      <w:r w:rsidDel="00000000" w:rsidR="00000000" w:rsidRPr="00000000">
        <w:rPr>
          <w:rtl w:val="0"/>
        </w:rPr>
        <w:t xml:space="preserve"> For each signal, a written answer to: </w:t>
      </w:r>
      <w:r w:rsidDel="00000000" w:rsidR="00000000" w:rsidRPr="00000000">
        <w:rPr>
          <w:i w:val="1"/>
          <w:iCs w:val="1"/>
          <w:rtl w:val="0"/>
        </w:rPr>
        <w:t xml:space="preserve">does this edge survive being published to 10× the current audience? What is the mechanism by which it would or would not?</w:t>
      </w:r>
      <w:r w:rsidDel="00000000" w:rsidR="00000000" w:rsidRPr="00000000">
        <w:rPr>
          <w:rtl w:val="0"/>
        </w:rPr>
        <w:t xml:space="preserve"> An edge with no capacity answer is an unpriced liability.</w:t>
      </w:r>
    </w:p>
    <w:p w:rsidR="00000000" w:rsidDel="00000000" w:rsidP="00000000" w:rsidRDefault="00000000" w:rsidRPr="00000000" w14:paraId="0000003C">
      <w:pPr>
        <w:pStyle w:val="Heading3"/>
        <w:rPr/>
      </w:pPr>
      <w:bookmarkStart w:colFirst="0" w:colLast="0" w:name="_jll5oovgf03l" w:id="7"/>
      <w:bookmarkEnd w:id="7"/>
      <w:r w:rsidDel="00000000" w:rsidR="00000000" w:rsidRPr="00000000">
        <w:rPr>
          <w:rtl w:val="0"/>
        </w:rPr>
        <w:t xml:space="preserve">M-4 · The same firm could not make it scale — a 95-point gap in one year.</w:t>
      </w:r>
    </w:p>
    <w:p w:rsidR="00000000" w:rsidDel="00000000" w:rsidP="00000000" w:rsidRDefault="00000000" w:rsidRPr="00000000" w14:paraId="0000003D">
      <w:pPr>
        <w:rPr/>
      </w:pPr>
      <w:r w:rsidDel="00000000" w:rsidR="00000000" w:rsidRPr="00000000">
        <w:rPr>
          <w:rtl w:val="0"/>
        </w:rPr>
        <w:t xml:space="preserve">In 2020: </w:t>
      </w:r>
      <w:r w:rsidDel="00000000" w:rsidR="00000000" w:rsidRPr="00000000">
        <w:rPr>
          <w:rFonts w:ascii="Arial Unicode MS" w:cs="Arial Unicode MS" w:eastAsia="Arial Unicode MS" w:hAnsi="Arial Unicode MS"/>
          <w:b w:val="1"/>
          <w:bCs w:val="1"/>
          <w:rtl w:val="0"/>
        </w:rPr>
        <w:t xml:space="preserve">Medallion +76%. RIEF −19.4%. RIDA −31.6%.</w:t>
      </w:r>
      <w:r w:rsidDel="00000000" w:rsidR="00000000" w:rsidRPr="00000000">
        <w:rPr>
          <w:rtl w:val="0"/>
        </w:rPr>
        <w:t xml:space="preserve"> Same firm, same software, same management. All three public funds had their worst year ever. A Medallion investor's explanation is the useful part: RIEF holds </w:t>
      </w:r>
      <w:r w:rsidDel="00000000" w:rsidR="00000000" w:rsidRPr="00000000">
        <w:rPr>
          <w:b w:val="1"/>
          <w:bCs w:val="1"/>
          <w:rtl w:val="0"/>
        </w:rPr>
        <w:t xml:space="preserve">6 months to a year</w:t>
      </w:r>
      <w:r w:rsidDel="00000000" w:rsidR="00000000" w:rsidRPr="00000000">
        <w:rPr>
          <w:rtl w:val="0"/>
        </w:rPr>
        <w:t xml:space="preserve"> and hedges with factor models; Medallion holds days and uses far more leverage. </w:t>
      </w:r>
      <w:r w:rsidDel="00000000" w:rsidR="00000000" w:rsidRPr="00000000">
        <w:rPr>
          <w:b w:val="1"/>
          <w:bCs w:val="1"/>
          <w:rtl w:val="0"/>
        </w:rPr>
        <w:t xml:space="preserve">The strategies are uncorrelated.</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aftermath: </w:t>
      </w:r>
      <w:r w:rsidDel="00000000" w:rsidR="00000000" w:rsidRPr="00000000">
        <w:rPr>
          <w:b w:val="1"/>
          <w:bCs w:val="1"/>
          <w:rtl w:val="0"/>
        </w:rPr>
        <w:t xml:space="preserve">$11.2 billion redeemed</w:t>
      </w:r>
      <w:r w:rsidDel="00000000" w:rsidR="00000000" w:rsidRPr="00000000">
        <w:rPr>
          <w:rtl w:val="0"/>
        </w:rPr>
        <w:t xml:space="preserve"> December 2020–June 2021; RIDA lost half its assets; RIDA and RIDGE were merged at end-2023 into a vehicle holding </w:t>
      </w:r>
      <w:r w:rsidDel="00000000" w:rsidR="00000000" w:rsidRPr="00000000">
        <w:rPr>
          <w:b w:val="1"/>
          <w:bCs w:val="1"/>
          <w:rtl w:val="0"/>
        </w:rPr>
        <w:t xml:space="preserve">$3.6 billion</w:t>
      </w:r>
      <w:r w:rsidDel="00000000" w:rsidR="00000000" w:rsidRPr="00000000">
        <w:rPr>
          <w:rtl w:val="0"/>
        </w:rPr>
        <w:t xml:space="preserve"> against the $29 billion the two had managed pre-2020. Investors then largely </w:t>
      </w:r>
      <w:r w:rsidDel="00000000" w:rsidR="00000000" w:rsidRPr="00000000">
        <w:rPr>
          <w:b w:val="1"/>
          <w:bCs w:val="1"/>
          <w:rtl w:val="0"/>
        </w:rPr>
        <w:t xml:space="preserve">missed the 2024 rebound</w:t>
      </w:r>
      <w:r w:rsidDel="00000000" w:rsidR="00000000" w:rsidRPr="00000000">
        <w:rPr>
          <w:rtl w:val="0"/>
        </w:rPr>
        <w:t xml:space="preserve"> (RIEF +22.7%, its best since 2011) — and October 2025 turned again, RIEF </w:t>
      </w:r>
      <w:r w:rsidDel="00000000" w:rsidR="00000000" w:rsidRPr="00000000">
        <w:rPr>
          <w:rFonts w:ascii="Arial Unicode MS" w:cs="Arial Unicode MS" w:eastAsia="Arial Unicode MS" w:hAnsi="Arial Unicode MS"/>
          <w:b w:val="1"/>
          <w:bCs w:val="1"/>
          <w:rtl w:val="0"/>
        </w:rPr>
        <w:t xml:space="preserve">−14.39% in the month.</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rtl w:val="0"/>
        </w:rPr>
        <w:t xml:space="preserve">Applied, and this one is live:</w:t>
      </w:r>
      <w:r w:rsidDel="00000000" w:rsidR="00000000" w:rsidRPr="00000000">
        <w:rPr>
          <w:rtl w:val="0"/>
        </w:rPr>
        <w:t xml:space="preserve"> the crypto tab is not the equity engine at a different horizon. It is a different strategy wearing the same clothes, and last week's finding — that no money source in the stack produces a per-coin read at all — is that gap showing. </w:t>
      </w:r>
      <w:r w:rsidDel="00000000" w:rsidR="00000000" w:rsidRPr="00000000">
        <w:rPr>
          <w:b w:val="1"/>
          <w:bCs w:val="1"/>
          <w:rtl w:val="0"/>
        </w:rPr>
        <w:t xml:space="preserve">Every accuracy claim should be scoped to its asset class and horizon, never averaged across them.</w:t>
      </w:r>
      <w:r w:rsidDel="00000000" w:rsidR="00000000" w:rsidRPr="00000000">
        <w:rPr>
          <w:rtl w:val="0"/>
        </w:rPr>
        <w:t xml:space="preserve"> You already run three separate ledgers. Keep them separate in the published numbers too.</w:t>
      </w:r>
    </w:p>
    <w:p w:rsidR="00000000" w:rsidDel="00000000" w:rsidP="00000000" w:rsidRDefault="00000000" w:rsidRPr="00000000" w14:paraId="00000042">
      <w:pPr>
        <w:pStyle w:val="Heading3"/>
        <w:rPr/>
      </w:pPr>
      <w:bookmarkStart w:colFirst="0" w:colLast="0" w:name="_4r18p05ytoa2" w:id="8"/>
      <w:bookmarkEnd w:id="8"/>
      <w:r w:rsidDel="00000000" w:rsidR="00000000" w:rsidRPr="00000000">
        <w:rPr>
          <w:rtl w:val="0"/>
        </w:rPr>
        <w:t xml:space="preserve">M-5 · One P&amp;L pool is what makes transparency survivable.</w:t>
      </w:r>
    </w:p>
    <w:p w:rsidR="00000000" w:rsidDel="00000000" w:rsidP="00000000" w:rsidRDefault="00000000" w:rsidRPr="00000000" w14:paraId="00000043">
      <w:pPr>
        <w:rPr/>
      </w:pPr>
      <w:r w:rsidDel="00000000" w:rsidR="00000000" w:rsidRPr="00000000">
        <w:rPr>
          <w:rtl w:val="0"/>
        </w:rPr>
        <w:t xml:space="preserve">Every staffer had full access to every line of source code — no partitions, anyone could experiment. CEO Peter Brown explains why that doesn't collapse: </w:t>
      </w:r>
      <w:r w:rsidDel="00000000" w:rsidR="00000000" w:rsidRPr="00000000">
        <w:rPr>
          <w:b w:val="1"/>
          <w:bCs w:val="1"/>
          <w:rtl w:val="0"/>
        </w:rPr>
        <w:t xml:space="preserve">"we pay everyone from the same pot instead of paying different groups in accordance with how much money they've made."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i w:val="1"/>
          <w:iCs w:val="1"/>
          <w:rtl w:val="0"/>
        </w:rPr>
        <w:t xml:space="preserve">Applied to the agent architecture:</w:t>
      </w:r>
      <w:r w:rsidDel="00000000" w:rsidR="00000000" w:rsidRPr="00000000">
        <w:rPr>
          <w:rtl w:val="0"/>
        </w:rPr>
        <w:t xml:space="preserve"> if agents or components are ever scored and rewarded individually, they will optimize locally and stop surfacing information that makes them look bad. The board's existing "collation, not blend" rule and the shared evidence pack are already this principle. Don't introduce per-agent performance scoring without the shared-pot equivalent.</w:t>
      </w:r>
    </w:p>
    <w:p w:rsidR="00000000" w:rsidDel="00000000" w:rsidP="00000000" w:rsidRDefault="00000000" w:rsidRPr="00000000" w14:paraId="00000046">
      <w:pPr>
        <w:pStyle w:val="Heading3"/>
        <w:rPr/>
      </w:pPr>
      <w:bookmarkStart w:colFirst="0" w:colLast="0" w:name="_wua9oaozrjl4" w:id="9"/>
      <w:bookmarkEnd w:id="9"/>
      <w:r w:rsidDel="00000000" w:rsidR="00000000" w:rsidRPr="00000000">
        <w:rPr>
          <w:rtl w:val="0"/>
        </w:rPr>
        <w:t xml:space="preserve">M-6 · Default to never overriding, but say honestly that overrides exist.</w:t>
      </w:r>
    </w:p>
    <w:p w:rsidR="00000000" w:rsidDel="00000000" w:rsidP="00000000" w:rsidRDefault="00000000" w:rsidRPr="00000000" w14:paraId="00000047">
      <w:pPr>
        <w:rPr/>
      </w:pPr>
      <w:r w:rsidDel="00000000" w:rsidR="00000000" w:rsidRPr="00000000">
        <w:rPr>
          <w:rtl w:val="0"/>
        </w:rPr>
        <w:t xml:space="preserve">Brown's real quote is qualified: they don't interfere, </w:t>
      </w:r>
      <w:r w:rsidDel="00000000" w:rsidR="00000000" w:rsidRPr="00000000">
        <w:rPr>
          <w:i w:val="1"/>
          <w:iCs w:val="1"/>
          <w:rtl w:val="0"/>
        </w:rPr>
        <w:t xml:space="preserve">except</w:t>
      </w:r>
      <w:r w:rsidDel="00000000" w:rsidR="00000000" w:rsidRPr="00000000">
        <w:rPr>
          <w:rtl w:val="0"/>
        </w:rPr>
        <w:t xml:space="preserve"> on the rare occasions when something is happening in the world that the model doesn't appropriately appreciate as risk. </w:t>
      </w:r>
      <w:r w:rsidDel="00000000" w:rsidR="00000000" w:rsidRPr="00000000">
        <w:rPr>
          <w:i w:val="1"/>
          <w:iCs w:val="1"/>
          <w:rtl w:val="0"/>
        </w:rPr>
        <w:t xml:space="preserve">Applied:</w:t>
      </w:r>
      <w:r w:rsidDel="00000000" w:rsidR="00000000" w:rsidRPr="00000000">
        <w:rPr>
          <w:rtl w:val="0"/>
        </w:rPr>
        <w:t xml:space="preserve"> flag-never-force is exactly this, correctly specified. Keep the exception, log every use of it, and never claim the model is untouched.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enc05z5itiwl" w:id="10"/>
      <w:bookmarkEnd w:id="10"/>
      <w:r w:rsidDel="00000000" w:rsidR="00000000" w:rsidRPr="00000000">
        <w:rPr>
          <w:rtl w:val="0"/>
        </w:rPr>
        <w:t xml:space="preserve">Part 3 — The TCI pole: few things, held long, inside a tiny universe</w:t>
      </w:r>
    </w:p>
    <w:p w:rsidR="00000000" w:rsidDel="00000000" w:rsidP="00000000" w:rsidRDefault="00000000" w:rsidRPr="00000000" w14:paraId="0000004B">
      <w:pPr>
        <w:pStyle w:val="Heading3"/>
        <w:rPr/>
      </w:pPr>
      <w:bookmarkStart w:colFirst="0" w:colLast="0" w:name="_b4u6k99v5kw8" w:id="11"/>
      <w:bookmarkEnd w:id="11"/>
      <w:r w:rsidDel="00000000" w:rsidR="00000000" w:rsidRPr="00000000">
        <w:rPr>
          <w:rtl w:val="0"/>
        </w:rPr>
        <w:t xml:space="preserve">T-1 · Concentration is the strategy, in his own words.</w:t>
      </w:r>
    </w:p>
    <w:p w:rsidR="00000000" w:rsidDel="00000000" w:rsidP="00000000" w:rsidRDefault="00000000" w:rsidRPr="00000000" w14:paraId="0000004C">
      <w:pPr>
        <w:rPr/>
      </w:pPr>
      <w:r w:rsidDel="00000000" w:rsidR="00000000" w:rsidRPr="00000000">
        <w:rPr>
          <w:rtl w:val="0"/>
        </w:rPr>
        <w:t xml:space="preserve">Hohn, on Norges Bank's podcast (May 2025): </w:t>
      </w:r>
      <w:r w:rsidDel="00000000" w:rsidR="00000000" w:rsidRPr="00000000">
        <w:rPr>
          <w:b w:val="1"/>
          <w:bCs w:val="1"/>
          <w:rtl w:val="0"/>
        </w:rPr>
        <w:t xml:space="preserve">"We may have 10% type holdings, 10 stocks, you know, 15 stocks. We don't own 100 things."</w:t>
      </w:r>
      <w:r w:rsidDel="00000000" w:rsidR="00000000" w:rsidRPr="00000000">
        <w:rPr>
          <w:rtl w:val="0"/>
        </w:rPr>
        <w:t xml:space="preserve"> The investable universe is deliberately minute — </w:t>
      </w:r>
      <w:r w:rsidDel="00000000" w:rsidR="00000000" w:rsidRPr="00000000">
        <w:rPr>
          <w:b w:val="1"/>
          <w:bCs w:val="1"/>
          <w:rtl w:val="0"/>
        </w:rPr>
        <w:t xml:space="preserve">"maybe there's 200 companies that we consider to be high quality and investable"</w:t>
      </w:r>
      <w:r w:rsidDel="00000000" w:rsidR="00000000" w:rsidRPr="00000000">
        <w:rPr>
          <w:rtl w:val="0"/>
        </w:rPr>
        <w:t xml:space="preserve"> — run by an investment team of </w:t>
      </w:r>
      <w:r w:rsidDel="00000000" w:rsidR="00000000" w:rsidRPr="00000000">
        <w:rPr>
          <w:b w:val="1"/>
          <w:bCs w:val="1"/>
          <w:rtl w:val="0"/>
        </w:rPr>
        <w:t xml:space="preserve">seven or eight people.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13F bears it out. Q1 2026: </w:t>
      </w:r>
      <w:r w:rsidDel="00000000" w:rsidR="00000000" w:rsidRPr="00000000">
        <w:rPr>
          <w:b w:val="1"/>
          <w:bCs w:val="1"/>
          <w:rtl w:val="0"/>
        </w:rPr>
        <w:t xml:space="preserve">$45.17B across 10 securities / 9 companies</w:t>
      </w:r>
      <w:r w:rsidDel="00000000" w:rsidR="00000000" w:rsidRPr="00000000">
        <w:rPr>
          <w:rtl w:val="0"/>
        </w:rPr>
        <w:t xml:space="preserve">, GE Aerospace alone at 29.85%, Visa 20.39%, top five over 80%. This is not new: 13 stocks at end-2021, top five two-thirds of assets.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i w:val="1"/>
          <w:iCs w:val="1"/>
          <w:rtl w:val="0"/>
        </w:rPr>
        <w:t xml:space="preserve">Applied:</w:t>
      </w:r>
      <w:r w:rsidDel="00000000" w:rsidR="00000000" w:rsidRPr="00000000">
        <w:rPr>
          <w:rtl w:val="0"/>
        </w:rPr>
        <w:t xml:space="preserve"> </w:t>
      </w:r>
      <w:r w:rsidDel="00000000" w:rsidR="00000000" w:rsidRPr="00000000">
        <w:rPr>
          <w:b w:val="1"/>
          <w:bCs w:val="1"/>
          <w:rtl w:val="0"/>
        </w:rPr>
        <w:t xml:space="preserve">coverage breadth is a vanity metric.</w:t>
      </w:r>
      <w:r w:rsidDel="00000000" w:rsidR="00000000" w:rsidRPr="00000000">
        <w:rPr>
          <w:rtl w:val="0"/>
        </w:rPr>
        <w:t xml:space="preserve"> Scoring twelve coins we cannot source money data for is worse than scoring four we can. Fewer things, scored to a standard we can defend.</w:t>
      </w:r>
    </w:p>
    <w:p w:rsidR="00000000" w:rsidDel="00000000" w:rsidP="00000000" w:rsidRDefault="00000000" w:rsidRPr="00000000" w14:paraId="00000051">
      <w:pPr>
        <w:pStyle w:val="Heading3"/>
        <w:rPr/>
      </w:pPr>
      <w:bookmarkStart w:colFirst="0" w:colLast="0" w:name="_thze6x267bsu" w:id="12"/>
      <w:bookmarkEnd w:id="12"/>
      <w:r w:rsidDel="00000000" w:rsidR="00000000" w:rsidRPr="00000000">
        <w:rPr>
          <w:rtl w:val="0"/>
        </w:rPr>
        <w:t xml:space="preserve">T-2 · The edge is in the </w:t>
      </w:r>
      <w:r w:rsidDel="00000000" w:rsidR="00000000" w:rsidRPr="00000000">
        <w:rPr>
          <w:i w:val="1"/>
          <w:iCs w:val="1"/>
          <w:rtl w:val="0"/>
        </w:rPr>
        <w:t xml:space="preserve">holding</w:t>
      </w:r>
      <w:r w:rsidDel="00000000" w:rsidR="00000000" w:rsidRPr="00000000">
        <w:rPr>
          <w:rtl w:val="0"/>
        </w:rPr>
        <w:t xml:space="preserve">, not the finding.</w:t>
      </w:r>
    </w:p>
    <w:p w:rsidR="00000000" w:rsidDel="00000000" w:rsidP="00000000" w:rsidRDefault="00000000" w:rsidRPr="00000000" w14:paraId="00000052">
      <w:pPr>
        <w:rPr/>
      </w:pPr>
      <w:r w:rsidDel="00000000" w:rsidR="00000000" w:rsidRPr="00000000">
        <w:rPr>
          <w:b w:val="1"/>
          <w:bCs w:val="1"/>
          <w:rtl w:val="0"/>
        </w:rPr>
        <w:t xml:space="preserve">"Average holding period of our current portfolio is eight years."</w:t>
      </w:r>
      <w:r w:rsidDel="00000000" w:rsidR="00000000" w:rsidRPr="00000000">
        <w:rPr>
          <w:rtl w:val="0"/>
        </w:rPr>
        <w:t xml:space="preserve"> Some positions held 13 years.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rtl w:val="0"/>
        </w:rPr>
        <w:t xml:space="preserve">Applied:</w:t>
      </w:r>
      <w:r w:rsidDel="00000000" w:rsidR="00000000" w:rsidRPr="00000000">
        <w:rPr>
          <w:rtl w:val="0"/>
        </w:rPr>
        <w:t xml:space="preserve"> this is </w:t>
      </w:r>
      <w:r w:rsidDel="00000000" w:rsidR="00000000" w:rsidRPr="00000000">
        <w:rPr>
          <w:rFonts w:ascii="Roboto Mono" w:cs="Roboto Mono" w:eastAsia="Roboto Mono" w:hAnsi="Roboto Mono"/>
          <w:color w:val="188038"/>
          <w:rtl w:val="0"/>
        </w:rPr>
        <w:t xml:space="preserve">LEAD_MAX_DAYS = 365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param_version=calib-params-v2-patience365</w:t>
      </w:r>
      <w:r w:rsidDel="00000000" w:rsidR="00000000" w:rsidRPr="00000000">
        <w:rPr>
          <w:rtl w:val="0"/>
        </w:rPr>
        <w:t xml:space="preserve"> vindicated. A signal's value is not established at detection; it is established by whether it survives the horizon. Measure signal </w:t>
      </w:r>
      <w:r w:rsidDel="00000000" w:rsidR="00000000" w:rsidRPr="00000000">
        <w:rPr>
          <w:b w:val="1"/>
          <w:bCs w:val="1"/>
          <w:rtl w:val="0"/>
        </w:rPr>
        <w:t xml:space="preserve">persistence across the full window</w:t>
      </w:r>
      <w:r w:rsidDel="00000000" w:rsidR="00000000" w:rsidRPr="00000000">
        <w:rPr>
          <w:rtl w:val="0"/>
        </w:rPr>
        <w:t xml:space="preserve">, and resist the pressure to shorten the window because shorter windows resolve faster and look better in a demo.</w:t>
      </w:r>
    </w:p>
    <w:p w:rsidR="00000000" w:rsidDel="00000000" w:rsidP="00000000" w:rsidRDefault="00000000" w:rsidRPr="00000000" w14:paraId="00000055">
      <w:pPr>
        <w:pStyle w:val="Heading3"/>
        <w:rPr/>
      </w:pPr>
      <w:bookmarkStart w:colFirst="0" w:colLast="0" w:name="_sgm2fcyje1ep" w:id="13"/>
      <w:bookmarkEnd w:id="13"/>
      <w:r w:rsidDel="00000000" w:rsidR="00000000" w:rsidRPr="00000000">
        <w:rPr>
          <w:rtl w:val="0"/>
        </w:rPr>
        <w:t xml:space="preserve">T-3 · The universe filter creates the edge before any analysis happens.</w:t>
      </w:r>
    </w:p>
    <w:p w:rsidR="00000000" w:rsidDel="00000000" w:rsidP="00000000" w:rsidRDefault="00000000" w:rsidRPr="00000000" w14:paraId="00000056">
      <w:pPr>
        <w:rPr/>
      </w:pPr>
      <w:r w:rsidDel="00000000" w:rsidR="00000000" w:rsidRPr="00000000">
        <w:rPr>
          <w:b w:val="1"/>
          <w:bCs w:val="1"/>
          <w:rtl w:val="0"/>
        </w:rPr>
        <w:t xml:space="preserve">"The most important thing… is high barriers to entry. The moats that Warren Buffett has talked about."</w:t>
      </w:r>
      <w:r w:rsidDel="00000000" w:rsidR="00000000" w:rsidRPr="00000000">
        <w:rPr>
          <w:rtl w:val="0"/>
        </w:rPr>
        <w:t xml:space="preserve"> · </w:t>
      </w:r>
      <w:r w:rsidDel="00000000" w:rsidR="00000000" w:rsidRPr="00000000">
        <w:rPr>
          <w:b w:val="1"/>
          <w:bCs w:val="1"/>
          <w:rtl w:val="0"/>
        </w:rPr>
        <w:t xml:space="preserve">"Competition kills profits. Yep, that's as simple as that."</w:t>
      </w:r>
      <w:r w:rsidDel="00000000" w:rsidR="00000000" w:rsidRPr="00000000">
        <w:rPr>
          <w:rtl w:val="0"/>
        </w:rPr>
        <w:t xml:space="preserve"> · </w:t>
      </w:r>
      <w:r w:rsidDel="00000000" w:rsidR="00000000" w:rsidRPr="00000000">
        <w:rPr>
          <w:b w:val="1"/>
          <w:bCs w:val="1"/>
          <w:rtl w:val="0"/>
        </w:rPr>
        <w:t xml:space="preserve">"Growth without barriers to entry is not a combination that you want."</w:t>
      </w:r>
      <w:r w:rsidDel="00000000" w:rsidR="00000000" w:rsidRPr="00000000">
        <w:rPr>
          <w:rtl w:val="0"/>
        </w:rPr>
        <w:t xml:space="preserve"> · He wants an </w:t>
      </w:r>
      <w:r w:rsidDel="00000000" w:rsidR="00000000" w:rsidRPr="00000000">
        <w:rPr>
          <w:b w:val="1"/>
          <w:bCs w:val="1"/>
          <w:rtl w:val="0"/>
        </w:rPr>
        <w:t xml:space="preserve">essential</w:t>
      </w:r>
      <w:r w:rsidDel="00000000" w:rsidR="00000000" w:rsidRPr="00000000">
        <w:rPr>
          <w:rtl w:val="0"/>
        </w:rPr>
        <w:t xml:space="preserve"> product or service: </w:t>
      </w:r>
      <w:r w:rsidDel="00000000" w:rsidR="00000000" w:rsidRPr="00000000">
        <w:rPr>
          <w:i w:val="1"/>
          <w:iCs w:val="1"/>
          <w:rtl w:val="0"/>
        </w:rPr>
        <w:t xml:space="preserve">"We don't like things which are discretionary."</w:t>
      </w:r>
      <w:r w:rsidDel="00000000" w:rsidR="00000000" w:rsidRPr="00000000">
        <w:rPr>
          <w:rtl w:val="0"/>
        </w:rPr>
        <w:t xml:space="preserve"> And a specific mechanism — pricing 1% above inflation on a 20% margin makes profits grow ~5% faster than revenue.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i w:val="1"/>
          <w:iCs w:val="1"/>
          <w:rtl w:val="0"/>
        </w:rPr>
        <w:t xml:space="preserve">Applied:</w:t>
      </w:r>
      <w:r w:rsidDel="00000000" w:rsidR="00000000" w:rsidRPr="00000000">
        <w:rPr>
          <w:rtl w:val="0"/>
        </w:rPr>
        <w:t xml:space="preserve"> the Gradient Score should have an explicit statement of </w:t>
      </w:r>
      <w:r w:rsidDel="00000000" w:rsidR="00000000" w:rsidRPr="00000000">
        <w:rPr>
          <w:b w:val="1"/>
          <w:bCs w:val="1"/>
          <w:rtl w:val="0"/>
        </w:rPr>
        <w:t xml:space="preserve">what makes a topic scoreable at all</w:t>
      </w:r>
      <w:r w:rsidDel="00000000" w:rsidR="00000000" w:rsidRPr="00000000">
        <w:rPr>
          <w:rtl w:val="0"/>
        </w:rPr>
        <w:t xml:space="preserve"> — signal density, source multiplicity, resolvability — applied </w:t>
      </w:r>
      <w:r w:rsidDel="00000000" w:rsidR="00000000" w:rsidRPr="00000000">
        <w:rPr>
          <w:i w:val="1"/>
          <w:iCs w:val="1"/>
          <w:rtl w:val="0"/>
        </w:rPr>
        <w:t xml:space="preserve">before</w:t>
      </w:r>
      <w:r w:rsidDel="00000000" w:rsidR="00000000" w:rsidRPr="00000000">
        <w:rPr>
          <w:rtl w:val="0"/>
        </w:rPr>
        <w:t xml:space="preserve"> scoring, not discovered afterwards in the accuracy ledger.</w:t>
      </w:r>
    </w:p>
    <w:p w:rsidR="00000000" w:rsidDel="00000000" w:rsidP="00000000" w:rsidRDefault="00000000" w:rsidRPr="00000000" w14:paraId="00000059">
      <w:pPr>
        <w:pStyle w:val="Heading3"/>
        <w:rPr/>
      </w:pPr>
      <w:bookmarkStart w:colFirst="0" w:colLast="0" w:name="_xwr8q14zy2h9" w:id="14"/>
      <w:bookmarkEnd w:id="14"/>
      <w:r w:rsidDel="00000000" w:rsidR="00000000" w:rsidRPr="00000000">
        <w:rPr>
          <w:rtl w:val="0"/>
        </w:rPr>
        <w:t xml:space="preserve">T-4 · The exclusion list is as important as the inclusion criteria.</w:t>
      </w:r>
    </w:p>
    <w:p w:rsidR="00000000" w:rsidDel="00000000" w:rsidP="00000000" w:rsidRDefault="00000000" w:rsidRPr="00000000" w14:paraId="0000005A">
      <w:pPr>
        <w:rPr/>
      </w:pPr>
      <w:r w:rsidDel="00000000" w:rsidR="00000000" w:rsidRPr="00000000">
        <w:rPr>
          <w:rtl w:val="0"/>
        </w:rPr>
        <w:t xml:space="preserve">Hohn names what he won't touch: </w:t>
      </w:r>
      <w:r w:rsidDel="00000000" w:rsidR="00000000" w:rsidRPr="00000000">
        <w:rPr>
          <w:b w:val="1"/>
          <w:bCs w:val="1"/>
          <w:rtl w:val="0"/>
        </w:rPr>
        <w:t xml:space="preserve">"We have a long list of companies we don't invest in… banks… the auto industry is obviously a commodity, retail… insurance, commodities."</w:t>
      </w:r>
      <w:r w:rsidDel="00000000" w:rsidR="00000000" w:rsidRPr="00000000">
        <w:rPr>
          <w:rtl w:val="0"/>
        </w:rPr>
        <w:t xml:space="preserve"> Plus tobacco and commodity manufacturing. On banks specifically: low earnings quality, opacity, leverage.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i w:val="1"/>
          <w:iCs w:val="1"/>
          <w:rtl w:val="0"/>
        </w:rPr>
        <w:t xml:space="preserve">Applied:</w:t>
      </w:r>
      <w:r w:rsidDel="00000000" w:rsidR="00000000" w:rsidRPr="00000000">
        <w:rPr>
          <w:rtl w:val="0"/>
        </w:rPr>
        <w:t xml:space="preserve"> </w:t>
      </w:r>
      <w:r w:rsidDel="00000000" w:rsidR="00000000" w:rsidRPr="00000000">
        <w:rPr>
          <w:b w:val="1"/>
          <w:bCs w:val="1"/>
          <w:rtl w:val="0"/>
        </w:rPr>
        <w:t xml:space="preserve">publish a "we do not score this well" list.</w:t>
      </w:r>
      <w:r w:rsidDel="00000000" w:rsidR="00000000" w:rsidRPr="00000000">
        <w:rPr>
          <w:rtl w:val="0"/>
        </w:rPr>
        <w:t xml:space="preserve"> Categories where source density is too thin, where resolution is ambiguous, where the money leg doesn't exist. This is the honest-absence discipline promoted from a display rule to a strategy. It also makes the things we </w:t>
      </w:r>
      <w:r w:rsidDel="00000000" w:rsidR="00000000" w:rsidRPr="00000000">
        <w:rPr>
          <w:i w:val="1"/>
          <w:iCs w:val="1"/>
          <w:rtl w:val="0"/>
        </w:rPr>
        <w:t xml:space="preserve">do</w:t>
      </w:r>
      <w:r w:rsidDel="00000000" w:rsidR="00000000" w:rsidRPr="00000000">
        <w:rPr>
          <w:rtl w:val="0"/>
        </w:rPr>
        <w:t xml:space="preserve"> score more credible, because the boundary is stated rather than discovered.</w:t>
      </w:r>
    </w:p>
    <w:p w:rsidR="00000000" w:rsidDel="00000000" w:rsidP="00000000" w:rsidRDefault="00000000" w:rsidRPr="00000000" w14:paraId="0000005D">
      <w:pPr>
        <w:pStyle w:val="Heading3"/>
        <w:rPr/>
      </w:pPr>
      <w:bookmarkStart w:colFirst="0" w:colLast="0" w:name="_9c3wj6w7ot6k" w:id="15"/>
      <w:bookmarkEnd w:id="15"/>
      <w:r w:rsidDel="00000000" w:rsidR="00000000" w:rsidRPr="00000000">
        <w:rPr>
          <w:rtl w:val="0"/>
        </w:rPr>
        <w:t xml:space="preserve">T-5 · Being right is worthless if you can't hold the position.</w:t>
      </w:r>
    </w:p>
    <w:p w:rsidR="00000000" w:rsidDel="00000000" w:rsidP="00000000" w:rsidRDefault="00000000" w:rsidRPr="00000000" w14:paraId="0000005E">
      <w:pPr>
        <w:rPr/>
      </w:pPr>
      <w:r w:rsidDel="00000000" w:rsidR="00000000" w:rsidRPr="00000000">
        <w:rPr>
          <w:b w:val="1"/>
          <w:bCs w:val="1"/>
          <w:rtl w:val="0"/>
        </w:rPr>
        <w:t xml:space="preserve">"We learned that shorting isn't a great business, because you're gonna be right, but not be able to hold it or fund the losses."</w:t>
      </w:r>
      <w:r w:rsidDel="00000000" w:rsidR="00000000" w:rsidRPr="00000000">
        <w:rPr>
          <w:rtl w:val="0"/>
        </w:rPr>
        <w:t xml:space="preserve"> His example is Wirecard — </w:t>
      </w:r>
      <w:r w:rsidDel="00000000" w:rsidR="00000000" w:rsidRPr="00000000">
        <w:rPr>
          <w:b w:val="1"/>
          <w:bCs w:val="1"/>
          <w:rtl w:val="0"/>
        </w:rPr>
        <w:t xml:space="preserve">TCI was right about the fraud and still found the structure unworkable.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i w:val="1"/>
          <w:iCs w:val="1"/>
          <w:rtl w:val="0"/>
        </w:rPr>
        <w:t xml:space="preserve">Applied:</w:t>
      </w:r>
      <w:r w:rsidDel="00000000" w:rsidR="00000000" w:rsidRPr="00000000">
        <w:rPr>
          <w:rtl w:val="0"/>
        </w:rPr>
        <w:t xml:space="preserve"> this is the sharpest available framing for the early-signal problem. A NowTrendIn signal that is correct but resolves in 300 days looks identical to a wrong signal for 299 of them. The UI must carry that distinction — an unresolved early signal is not a pending win, and presenting it as one is the same category of error as "ABSENT — balanced money read."</w:t>
      </w:r>
    </w:p>
    <w:p w:rsidR="00000000" w:rsidDel="00000000" w:rsidP="00000000" w:rsidRDefault="00000000" w:rsidRPr="00000000" w14:paraId="00000061">
      <w:pPr>
        <w:pStyle w:val="Heading3"/>
        <w:rPr/>
      </w:pPr>
      <w:bookmarkStart w:colFirst="0" w:colLast="0" w:name="_62m16o8bsufp" w:id="16"/>
      <w:bookmarkEnd w:id="16"/>
      <w:r w:rsidDel="00000000" w:rsidR="00000000" w:rsidRPr="00000000">
        <w:rPr>
          <w:rtl w:val="0"/>
        </w:rPr>
        <w:t xml:space="preserve">T-6 · Concentration cuts both ways, and it did so four months ago.</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b w:val="1"/>
          <w:bCs w:val="1"/>
          <w:rtl w:val="0"/>
        </w:rPr>
        <w:t xml:space="preserve">Q1 2026: TCI −9.4%, with March alone −11.9%</w:t>
      </w:r>
      <w:r w:rsidDel="00000000" w:rsidR="00000000" w:rsidRPr="00000000">
        <w:rPr>
          <w:rFonts w:ascii="Arial Unicode MS" w:cs="Arial Unicode MS" w:eastAsia="Arial Unicode MS" w:hAnsi="Arial Unicode MS"/>
          <w:rtl w:val="0"/>
        </w:rPr>
        <w:t xml:space="preserve"> — because all five top positions fell together. GE −17% in March, Visa −14%, Microsoft −23%, Moody's −14.5%, S&amp;P Global −18.5%. And earlier: </w:t>
      </w:r>
      <w:r w:rsidDel="00000000" w:rsidR="00000000" w:rsidRPr="00000000">
        <w:rPr>
          <w:rFonts w:ascii="Arial Unicode MS" w:cs="Arial Unicode MS" w:eastAsia="Arial Unicode MS" w:hAnsi="Arial Unicode MS"/>
          <w:b w:val="1"/>
          <w:bCs w:val="1"/>
          <w:rtl w:val="0"/>
        </w:rPr>
        <w:t xml:space="preserve">−43% in 2008, −18% in 2022</w:t>
      </w:r>
      <w:r w:rsidDel="00000000" w:rsidR="00000000" w:rsidRPr="00000000">
        <w:rPr>
          <w:rtl w:val="0"/>
        </w:rPr>
        <w:t xml:space="preserve"> (ending a 13-year streak).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2008 aftermath is the more instructive number: AUM fell from a </w:t>
      </w:r>
      <w:r w:rsidDel="00000000" w:rsidR="00000000" w:rsidRPr="00000000">
        <w:rPr>
          <w:b w:val="1"/>
          <w:bCs w:val="1"/>
          <w:rtl w:val="0"/>
        </w:rPr>
        <w:t xml:space="preserve">$19B peak to $4.9B by end-2012 — a 74% decline across a period that included a +70% year (2009)</w:t>
      </w:r>
      <w:r w:rsidDel="00000000" w:rsidR="00000000" w:rsidRPr="00000000">
        <w:rPr>
          <w:rtl w:val="0"/>
        </w:rPr>
        <w:t xml:space="preserve"> — because the three- and five-year lockups meant redemptions arrived in waves </w:t>
      </w:r>
      <w:r w:rsidDel="00000000" w:rsidR="00000000" w:rsidRPr="00000000">
        <w:rPr>
          <w:i w:val="1"/>
          <w:iCs w:val="1"/>
          <w:rtl w:val="0"/>
        </w:rPr>
        <w:t xml:space="preserve">after</w:t>
      </w:r>
      <w:r w:rsidDel="00000000" w:rsidR="00000000" w:rsidRPr="00000000">
        <w:rPr>
          <w:rtl w:val="0"/>
        </w:rPr>
        <w:t xml:space="preserve"> the recovery.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i w:val="1"/>
          <w:iCs w:val="1"/>
          <w:rtl w:val="0"/>
        </w:rPr>
        <w:t xml:space="preserve">Applied:</w:t>
      </w:r>
      <w:r w:rsidDel="00000000" w:rsidR="00000000" w:rsidRPr="00000000">
        <w:rPr>
          <w:rtl w:val="0"/>
        </w:rPr>
        <w:t xml:space="preserve"> this is the Griffin seat's H-3 (hidden common factor) demonstrated live, by a concentrated fund, immediately after a record year. Our version of "all five positions fell together" is "all our signals depend on the same three parsers." And the 2008-to-2012 asset collapse is H-5 (asymmetric drawdown math): the damage to trust arrives </w:t>
      </w:r>
      <w:r w:rsidDel="00000000" w:rsidR="00000000" w:rsidRPr="00000000">
        <w:rPr>
          <w:i w:val="1"/>
          <w:iCs w:val="1"/>
          <w:rtl w:val="0"/>
        </w:rPr>
        <w:t xml:space="preserve">after</w:t>
      </w:r>
      <w:r w:rsidDel="00000000" w:rsidR="00000000" w:rsidRPr="00000000">
        <w:rPr>
          <w:rtl w:val="0"/>
        </w:rPr>
        <w:t xml:space="preserve"> the performance has recovered.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x8cffaj2qv2i" w:id="17"/>
      <w:bookmarkEnd w:id="17"/>
      <w:r w:rsidDel="00000000" w:rsidR="00000000" w:rsidRPr="00000000">
        <w:rPr>
          <w:rtl w:val="0"/>
        </w:rPr>
        <w:t xml:space="preserve">Part 4 — What this changes in the model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Mechanic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Pole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Capacity register</w:t>
            </w:r>
            <w:r w:rsidDel="00000000" w:rsidR="00000000" w:rsidRPr="00000000">
              <w:rPr>
                <w:rtl w:val="0"/>
              </w:rPr>
              <w:t xml:space="preserve"> — does each edge survive 10×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Medallion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Scope every accuracy claim to asset class + horizon</w:t>
            </w:r>
            <w:r w:rsidDel="00000000" w:rsidR="00000000" w:rsidRPr="00000000">
              <w:rPr>
                <w:rtl w:val="0"/>
              </w:rPr>
              <w:t xml:space="preserve">; never average across the three ledgers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Medallion 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Report N with every accuracy figure</w:t>
            </w:r>
            <w:r w:rsidDel="00000000" w:rsidR="00000000" w:rsidRPr="00000000">
              <w:rPr>
                <w:rtl w:val="0"/>
              </w:rPr>
              <w:t xml:space="preserve">, unprompted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Medallion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Provenance grade (A/B/C)</w:t>
            </w:r>
            <w:r w:rsidDel="00000000" w:rsidR="00000000" w:rsidRPr="00000000">
              <w:rPr>
                <w:rtl w:val="0"/>
              </w:rPr>
              <w:t xml:space="preserve"> on every published number; only A goes in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Part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Publish a "we do not score this well" 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TCI 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Scoreability pre-filter</w:t>
            </w:r>
            <w:r w:rsidDel="00000000" w:rsidR="00000000" w:rsidRPr="00000000">
              <w:rPr>
                <w:rtl w:val="0"/>
              </w:rPr>
              <w:t xml:space="preserve"> — state what makes a topic scoreable before scoring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TCI 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Arial Unicode MS" w:cs="Arial Unicode MS" w:eastAsia="Arial Unicode MS" w:hAnsi="Arial Unicode MS"/>
                <w:b w:val="1"/>
                <w:bCs w:val="1"/>
                <w:rtl w:val="0"/>
              </w:rPr>
              <w:t xml:space="preserve">Unresolved ≠ pending win</w:t>
            </w:r>
            <w:r w:rsidDel="00000000" w:rsidR="00000000" w:rsidRPr="00000000">
              <w:rPr>
                <w:rtl w:val="0"/>
              </w:rPr>
              <w:t xml:space="preserve"> in the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TCI 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Fund the data-cleaning layer as the product</w:t>
            </w:r>
            <w:r w:rsidDel="00000000" w:rsidR="00000000" w:rsidRPr="00000000">
              <w:rPr>
                <w:rtl w:val="0"/>
              </w:rPr>
              <w:t xml:space="preserve">, not as overhead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Medallion 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Ongoing</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rzffkq580zd0" w:id="18"/>
      <w:bookmarkEnd w:id="18"/>
      <w:r w:rsidDel="00000000" w:rsidR="00000000" w:rsidRPr="00000000">
        <w:rPr>
          <w:rtl w:val="0"/>
        </w:rPr>
        <w:t xml:space="preserve">Part 5 — Board implications (no new seats)</w:t>
      </w:r>
    </w:p>
    <w:p w:rsidR="00000000" w:rsidDel="00000000" w:rsidP="00000000" w:rsidRDefault="00000000" w:rsidRPr="00000000" w14:paraId="00000091">
      <w:pPr>
        <w:rPr/>
      </w:pPr>
      <w:r w:rsidDel="00000000" w:rsidR="00000000" w:rsidRPr="00000000">
        <w:rPr>
          <w:b w:val="1"/>
          <w:bCs w:val="1"/>
          <w:rtl w:val="0"/>
        </w:rPr>
        <w:t xml:space="preserve">Recommendation: do not add TCI or Simons seats.</w:t>
      </w:r>
      <w:r w:rsidDel="00000000" w:rsidR="00000000" w:rsidRPr="00000000">
        <w:rPr>
          <w:rtl w:val="0"/>
        </w:rPr>
        <w:t xml:space="preserve"> The board is at six, Griffin would make seven, and I previously recommended two more (Statistician, Forecaster). Nine independent memos per convening is a cost that will quietly stop convenings from happening. Instead: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b w:val="1"/>
          <w:bCs w:val="1"/>
          <w:rtl w:val="0"/>
        </w:rPr>
        <w:t xml:space="preserve">Medallion becomes the canon for THE STATISTICIAN seat</w:t>
      </w:r>
      <w:r w:rsidDel="00000000" w:rsidR="00000000" w:rsidRPr="00000000">
        <w:rPr>
          <w:rtl w:val="0"/>
        </w:rPr>
        <w:t xml:space="preserve"> — but note the irony that makes it the </w:t>
      </w:r>
      <w:r w:rsidDel="00000000" w:rsidR="00000000" w:rsidRPr="00000000">
        <w:rPr>
          <w:i w:val="1"/>
          <w:iCs w:val="1"/>
          <w:rtl w:val="0"/>
        </w:rPr>
        <w:t xml:space="preserve">right</w:t>
      </w:r>
      <w:r w:rsidDel="00000000" w:rsidR="00000000" w:rsidRPr="00000000">
        <w:rPr>
          <w:rtl w:val="0"/>
        </w:rPr>
        <w:t xml:space="preserve"> canon: the greatest quantitative record ever produced is </w:t>
      </w:r>
      <w:r w:rsidDel="00000000" w:rsidR="00000000" w:rsidRPr="00000000">
        <w:rPr>
          <w:b w:val="1"/>
          <w:bCs w:val="1"/>
          <w:rtl w:val="0"/>
        </w:rPr>
        <w:t xml:space="preserve">unaudited and single-sourced</w:t>
      </w:r>
      <w:r w:rsidDel="00000000" w:rsidR="00000000" w:rsidRPr="00000000">
        <w:rPr>
          <w:rtl w:val="0"/>
        </w:rPr>
        <w:t xml:space="preserve">, and is now being challenged in an arXiv paper. A seat that owns overfitting and evidentiary standards should be grounded in the case where the evidence itself is the weak point.</w:t>
      </w:r>
    </w:p>
    <w:p w:rsidR="00000000" w:rsidDel="00000000" w:rsidP="00000000" w:rsidRDefault="00000000" w:rsidRPr="00000000" w14:paraId="00000094">
      <w:pPr>
        <w:numPr>
          <w:ilvl w:val="0"/>
          <w:numId w:val="1"/>
        </w:numPr>
        <w:ind w:left="720" w:hanging="360"/>
      </w:pPr>
      <w:r w:rsidDel="00000000" w:rsidR="00000000" w:rsidRPr="00000000">
        <w:rPr>
          <w:b w:val="1"/>
          <w:bCs w:val="1"/>
          <w:rtl w:val="0"/>
        </w:rPr>
        <w:t xml:space="preserve">TCI's capacity and concentration lessons go to THE OPERATOR (Griffin seat)</w:t>
      </w:r>
      <w:r w:rsidDel="00000000" w:rsidR="00000000" w:rsidRPr="00000000">
        <w:rPr>
          <w:rtl w:val="0"/>
        </w:rPr>
        <w:t xml:space="preserve"> — capacity is an edge-durability question, which is precisely that seat's mandate. Add capacity to its standing EDGE FINDINGS format: </w:t>
      </w:r>
      <w:r w:rsidDel="00000000" w:rsidR="00000000" w:rsidRPr="00000000">
        <w:rPr>
          <w:rFonts w:ascii="Arial Unicode MS" w:cs="Arial Unicode MS" w:eastAsia="Arial Unicode MS" w:hAnsi="Arial Unicode MS"/>
          <w:i w:val="1"/>
          <w:iCs w:val="1"/>
          <w:rtl w:val="0"/>
        </w:rPr>
        <w:t xml:space="preserve">source of advantage → who is on the other side → expiry condition → </w:t>
      </w:r>
      <w:r w:rsidDel="00000000" w:rsidR="00000000" w:rsidRPr="00000000">
        <w:rPr>
          <w:b w:val="1"/>
          <w:bCs w:val="1"/>
          <w:i w:val="1"/>
          <w:iCs w:val="1"/>
          <w:rtl w:val="0"/>
        </w:rPr>
        <w:t xml:space="preserve">capacity condition</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b w:val="1"/>
          <w:bCs w:val="1"/>
          <w:rtl w:val="0"/>
        </w:rPr>
        <w:t xml:space="preserve">TCI's universe discipline goes to THE FIRST-PRINCIPLES GUARDIAN</w:t>
      </w:r>
      <w:r w:rsidDel="00000000" w:rsidR="00000000" w:rsidRPr="00000000">
        <w:rPr>
          <w:rtl w:val="0"/>
        </w:rPr>
        <w:t xml:space="preserve"> — "what are we structurally unable to measure well" is a first-principles question about the irreducible claim, not a new seat.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kg6b2fc2v91v" w:id="19"/>
      <w:bookmarkEnd w:id="19"/>
      <w:r w:rsidDel="00000000" w:rsidR="00000000" w:rsidRPr="00000000">
        <w:rPr>
          <w:rtl w:val="0"/>
        </w:rPr>
        <w:t xml:space="preserve">Verified figures used above</w:t>
      </w:r>
    </w:p>
    <w:p w:rsidR="00000000" w:rsidDel="00000000" w:rsidP="00000000" w:rsidRDefault="00000000" w:rsidRPr="00000000" w14:paraId="00000099">
      <w:pPr>
        <w:rPr/>
      </w:pPr>
      <w:r w:rsidDel="00000000" w:rsidR="00000000" w:rsidRPr="00000000">
        <w:rPr>
          <w:b w:val="1"/>
          <w:bCs w:val="1"/>
          <w:rtl w:val="0"/>
        </w:rPr>
        <w:t xml:space="preserve">TCI:</w:t>
      </w:r>
      <w:r w:rsidDel="00000000" w:rsidR="00000000" w:rsidRPr="00000000">
        <w:rPr>
          <w:rtl w:val="0"/>
        </w:rPr>
        <w:t xml:space="preserve"> founded June 2003 by Chris Hohn (Apax 1994–96, Perry Capital 1996–2003). 2025: </w:t>
      </w:r>
      <w:r w:rsidDel="00000000" w:rsidR="00000000" w:rsidRPr="00000000">
        <w:rPr>
          <w:b w:val="1"/>
          <w:bCs w:val="1"/>
          <w:rtl w:val="0"/>
        </w:rPr>
        <w:t xml:space="preserve">+27%</w:t>
      </w:r>
      <w:r w:rsidDel="00000000" w:rsidR="00000000" w:rsidRPr="00000000">
        <w:rPr>
          <w:rtl w:val="0"/>
        </w:rPr>
        <w:t xml:space="preserve"> (II reports 27.8%), </w:t>
      </w:r>
      <w:r w:rsidDel="00000000" w:rsidR="00000000" w:rsidRPr="00000000">
        <w:rPr>
          <w:b w:val="1"/>
          <w:bCs w:val="1"/>
          <w:rtl w:val="0"/>
        </w:rPr>
        <w:t xml:space="preserve">$18.9B net gains</w:t>
      </w:r>
      <w:r w:rsidDel="00000000" w:rsidR="00000000" w:rsidRPr="00000000">
        <w:rPr>
          <w:rtl w:val="0"/>
        </w:rPr>
        <w:t xml:space="preserve"> — per LCH chairman Rick Sopher, "the largest ever annual dollar gain made by a manager," surpassing Citadel's ~$16B in 2022. Cumulative </w:t>
      </w:r>
      <w:r w:rsidDel="00000000" w:rsidR="00000000" w:rsidRPr="00000000">
        <w:rPr>
          <w:b w:val="1"/>
          <w:bCs w:val="1"/>
          <w:rtl w:val="0"/>
        </w:rPr>
        <w:t xml:space="preserve">$68.4B, 5th all-time</w:t>
      </w:r>
      <w:r w:rsidDel="00000000" w:rsidR="00000000" w:rsidRPr="00000000">
        <w:rPr>
          <w:rtl w:val="0"/>
        </w:rPr>
        <w:t xml:space="preserve">. AUM ~</w:t>
      </w:r>
      <w:r w:rsidDel="00000000" w:rsidR="00000000" w:rsidRPr="00000000">
        <w:rPr>
          <w:b w:val="1"/>
          <w:bCs w:val="1"/>
          <w:rtl w:val="0"/>
        </w:rPr>
        <w:t xml:space="preserve">$77B</w:t>
      </w:r>
      <w:r w:rsidDel="00000000" w:rsidR="00000000" w:rsidRPr="00000000">
        <w:rPr>
          <w:rtl w:val="0"/>
        </w:rPr>
        <w:t xml:space="preserve"> (some sources $70B). Annualized since inception </w:t>
      </w:r>
      <w:r w:rsidDel="00000000" w:rsidR="00000000" w:rsidRPr="00000000">
        <w:rPr>
          <w:b w:val="1"/>
          <w:bCs w:val="1"/>
          <w:rtl w:val="0"/>
        </w:rPr>
        <w:t xml:space="preserve">18%</w:t>
      </w:r>
      <w:r w:rsidDel="00000000" w:rsidR="00000000" w:rsidRPr="00000000">
        <w:rPr>
          <w:rtl w:val="0"/>
        </w:rPr>
        <w:t xml:space="preserve"> — verified only </w:t>
      </w:r>
      <w:r w:rsidDel="00000000" w:rsidR="00000000" w:rsidRPr="00000000">
        <w:rPr>
          <w:i w:val="1"/>
          <w:iCs w:val="1"/>
          <w:rtl w:val="0"/>
        </w:rPr>
        <w:t xml:space="preserve">as of April 2022</w:t>
      </w:r>
      <w:r w:rsidDel="00000000" w:rsidR="00000000" w:rsidRPr="00000000">
        <w:rPr>
          <w:rFonts w:ascii="Arial Unicode MS" w:cs="Arial Unicode MS" w:eastAsia="Arial Unicode MS" w:hAnsi="Arial Unicode MS"/>
          <w:rtl w:val="0"/>
        </w:rPr>
        <w:t xml:space="preserve">; no updated figure found. Year-by-year: 2008 −43%, 2009 +70%, 2018 +0.9%, 2019 +41%, 2022 −18%, 2023 +32.7%, 2024 +15%, 2025 +27%, </w:t>
      </w:r>
      <w:r w:rsidDel="00000000" w:rsidR="00000000" w:rsidRPr="00000000">
        <w:rPr>
          <w:rFonts w:ascii="Arial Unicode MS" w:cs="Arial Unicode MS" w:eastAsia="Arial Unicode MS" w:hAnsi="Arial Unicode MS"/>
          <w:b w:val="1"/>
          <w:bCs w:val="1"/>
          <w:rtl w:val="0"/>
        </w:rPr>
        <w:t xml:space="preserve">Q1 2026 −9.4%</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Medallion:</w:t>
      </w:r>
      <w:r w:rsidDel="00000000" w:rsidR="00000000" w:rsidRPr="00000000">
        <w:rPr>
          <w:rtl w:val="0"/>
        </w:rPr>
        <w:t xml:space="preserve"> 1988–2018 arithmetic averages </w:t>
      </w:r>
      <w:r w:rsidDel="00000000" w:rsidR="00000000" w:rsidRPr="00000000">
        <w:rPr>
          <w:b w:val="1"/>
          <w:bCs w:val="1"/>
          <w:rtl w:val="0"/>
        </w:rPr>
        <w:t xml:space="preserve">66.07% gross / 39.20% net</w:t>
      </w:r>
      <w:r w:rsidDel="00000000" w:rsidR="00000000" w:rsidRPr="00000000">
        <w:rPr>
          <w:rtl w:val="0"/>
        </w:rPr>
        <w:t xml:space="preserve"> (Cornell, from Zuckerman). Compound gross </w:t>
      </w:r>
      <w:r w:rsidDel="00000000" w:rsidR="00000000" w:rsidRPr="00000000">
        <w:rPr>
          <w:b w:val="1"/>
          <w:bCs w:val="1"/>
          <w:rtl w:val="0"/>
        </w:rPr>
        <w:t xml:space="preserve">63.3%</w:t>
      </w:r>
      <w:r w:rsidDel="00000000" w:rsidR="00000000" w:rsidRPr="00000000">
        <w:rPr>
          <w:rFonts w:ascii="Arial Unicode MS" w:cs="Arial Unicode MS" w:eastAsia="Arial Unicode MS" w:hAnsi="Arial Unicode MS"/>
          <w:rtl w:val="0"/>
        </w:rPr>
        <w:t xml:space="preserve">. Only one negative net year (1989, −3.2%); no negative gross years. Size $20M (1988) → $10B (2010–2018). Closed to new money 1993, fully closed 2005. 2020: Medallion </w:t>
      </w:r>
      <w:r w:rsidDel="00000000" w:rsidR="00000000" w:rsidRPr="00000000">
        <w:rPr>
          <w:b w:val="1"/>
          <w:bCs w:val="1"/>
          <w:rtl w:val="0"/>
        </w:rPr>
        <w:t xml:space="preserve">+76%</w:t>
      </w:r>
      <w:r w:rsidDel="00000000" w:rsidR="00000000" w:rsidRPr="00000000">
        <w:rPr>
          <w:rtl w:val="0"/>
        </w:rPr>
        <w:t xml:space="preserve">, RIEF </w:t>
      </w:r>
      <w:r w:rsidDel="00000000" w:rsidR="00000000" w:rsidRPr="00000000">
        <w:rPr>
          <w:rFonts w:ascii="Arial Unicode MS" w:cs="Arial Unicode MS" w:eastAsia="Arial Unicode MS" w:hAnsi="Arial Unicode MS"/>
          <w:b w:val="1"/>
          <w:bCs w:val="1"/>
          <w:rtl w:val="0"/>
        </w:rPr>
        <w:t xml:space="preserve">−19.4%</w:t>
      </w:r>
      <w:r w:rsidDel="00000000" w:rsidR="00000000" w:rsidRPr="00000000">
        <w:rPr>
          <w:rtl w:val="0"/>
        </w:rPr>
        <w:t xml:space="preserve">, RIDA </w:t>
      </w:r>
      <w:r w:rsidDel="00000000" w:rsidR="00000000" w:rsidRPr="00000000">
        <w:rPr>
          <w:rFonts w:ascii="Arial Unicode MS" w:cs="Arial Unicode MS" w:eastAsia="Arial Unicode MS" w:hAnsi="Arial Unicode MS"/>
          <w:b w:val="1"/>
          <w:bCs w:val="1"/>
          <w:rtl w:val="0"/>
        </w:rPr>
        <w:t xml:space="preserve">−31.6%</w:t>
      </w:r>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Honest ledger, both:</w:t>
      </w:r>
      <w:r w:rsidDel="00000000" w:rsidR="00000000" w:rsidRPr="00000000">
        <w:rPr>
          <w:rtl w:val="0"/>
        </w:rPr>
        <w:t xml:space="preserve"> TCI lost the disclosure question in </w:t>
      </w:r>
      <w:r w:rsidDel="00000000" w:rsidR="00000000" w:rsidRPr="00000000">
        <w:rPr>
          <w:i w:val="1"/>
          <w:iCs w:val="1"/>
          <w:rtl w:val="0"/>
        </w:rPr>
        <w:t xml:space="preserve">CSX v. TCI</w:t>
      </w:r>
      <w:r w:rsidDel="00000000" w:rsidR="00000000" w:rsidRPr="00000000">
        <w:rPr>
          <w:rtl w:val="0"/>
        </w:rPr>
        <w:t xml:space="preserve"> (S.D.N.Y. 2008) — the court found it used cash-settled swaps referencing ~14% of CSX while reporting 4.5%, "as part of a plan or scheme to evade" §13(d) — while winning the board seats. Renaissance settled with the IRS in September 2021 for </w:t>
      </w:r>
      <w:r w:rsidDel="00000000" w:rsidR="00000000" w:rsidRPr="00000000">
        <w:rPr>
          <w:b w:val="1"/>
          <w:bCs w:val="1"/>
          <w:rtl w:val="0"/>
        </w:rPr>
        <w:t xml:space="preserve">up to $7 billion</w:t>
      </w:r>
      <w:r w:rsidDel="00000000" w:rsidR="00000000" w:rsidRPr="00000000">
        <w:rPr>
          <w:rtl w:val="0"/>
        </w:rPr>
        <w:t xml:space="preserve"> over basket options covering Medallion trades 2005–2015 (Simons personally paid $670M); the 2014 Senate hearing was titled "Misusing Basket Options to Avoid Taxes </w:t>
      </w:r>
      <w:r w:rsidDel="00000000" w:rsidR="00000000" w:rsidRPr="00000000">
        <w:rPr>
          <w:b w:val="1"/>
          <w:bCs w:val="1"/>
          <w:rtl w:val="0"/>
        </w:rPr>
        <w:t xml:space="preserve">and Leverage Limits</w:t>
      </w:r>
      <w:r w:rsidDel="00000000" w:rsidR="00000000" w:rsidRPr="00000000">
        <w:rPr>
          <w:rtl w:val="0"/>
        </w:rPr>
        <w:t xml:space="preserve">," which bears directly on the leverage critique of Medallion's headline returns.</w:t>
      </w:r>
    </w:p>
    <w:p w:rsidR="00000000" w:rsidDel="00000000" w:rsidP="00000000" w:rsidRDefault="00000000" w:rsidRPr="00000000" w14:paraId="0000009E">
      <w:pPr>
        <w:pStyle w:val="Heading2"/>
        <w:rPr/>
      </w:pPr>
      <w:bookmarkStart w:colFirst="0" w:colLast="0" w:name="_lcvslxo8xzia" w:id="20"/>
      <w:bookmarkEnd w:id="20"/>
      <w:r w:rsidDel="00000000" w:rsidR="00000000" w:rsidRPr="00000000">
        <w:rPr>
          <w:rtl w:val="0"/>
        </w:rPr>
        <w:t xml:space="preserve">Could not verify — do not fill these in</w:t>
      </w:r>
    </w:p>
    <w:p w:rsidR="00000000" w:rsidDel="00000000" w:rsidP="00000000" w:rsidRDefault="00000000" w:rsidRPr="00000000" w14:paraId="0000009F">
      <w:pPr>
        <w:rPr/>
      </w:pPr>
      <w:r w:rsidDel="00000000" w:rsidR="00000000" w:rsidRPr="00000000">
        <w:rPr>
          <w:rtl w:val="0"/>
        </w:rPr>
        <w:t xml:space="preserve">TCI's current fee terms (only the historical 1.5% management fee and "three- and five-year lockups" are verified); a quantified TCI turnover ratio (only the eight-year holding period); TCI's 2020 and 2021 percentage returns (only dollar gains); TCI's post-2025 annualized figure; </w:t>
      </w:r>
      <w:r w:rsidDel="00000000" w:rsidR="00000000" w:rsidRPr="00000000">
        <w:rPr>
          <w:b w:val="1"/>
          <w:bCs w:val="1"/>
          <w:rtl w:val="0"/>
        </w:rPr>
        <w:t xml:space="preserve">any Medallion year-by-year figure after 2018 except 2020 (+76%)</w:t>
      </w:r>
      <w:r w:rsidDel="00000000" w:rsidR="00000000" w:rsidRPr="00000000">
        <w:rPr>
          <w:rtl w:val="0"/>
        </w:rPr>
        <w:t xml:space="preserve"> — anyone publishing a full table through 2024 is extrapolating; Medallion's current size; Renaissance's primary Form ADV AUM.</w:t>
      </w:r>
    </w:p>
    <w:p w:rsidR="00000000" w:rsidDel="00000000" w:rsidP="00000000" w:rsidRDefault="00000000" w:rsidRPr="00000000" w14:paraId="000000A0">
      <w:pPr>
        <w:pStyle w:val="Heading2"/>
        <w:rPr/>
      </w:pPr>
      <w:bookmarkStart w:colFirst="0" w:colLast="0" w:name="_q590xijm1ocf" w:id="21"/>
      <w:bookmarkEnd w:id="21"/>
      <w:r w:rsidDel="00000000" w:rsidR="00000000" w:rsidRPr="00000000">
        <w:rPr>
          <w:rtl w:val="0"/>
        </w:rPr>
        <w:t xml:space="preserve">Sources</w:t>
      </w:r>
    </w:p>
    <w:p w:rsidR="00000000" w:rsidDel="00000000" w:rsidP="00000000" w:rsidRDefault="00000000" w:rsidRPr="00000000" w14:paraId="000000A1">
      <w:pPr>
        <w:rPr/>
      </w:pPr>
      <w:r w:rsidDel="00000000" w:rsidR="00000000" w:rsidRPr="00000000">
        <w:rPr>
          <w:rtl w:val="0"/>
        </w:rPr>
        <w:t xml:space="preserve">Cornell, "Medallion Fund: The Ultimate Counterexample?" — </w:t>
      </w:r>
      <w:hyperlink r:id="rId6">
        <w:r w:rsidDel="00000000" w:rsidR="00000000" w:rsidRPr="00000000">
          <w:rPr>
            <w:color w:val="1155cc"/>
            <w:u w:val="single"/>
            <w:rtl w:val="0"/>
          </w:rPr>
          <w:t xml:space="preserve">https://papers.ssrn.com/sol3/papers.cfm?abstract_id=3504766</w:t>
        </w:r>
      </w:hyperlink>
      <w:r w:rsidDel="00000000" w:rsidR="00000000" w:rsidRPr="00000000">
        <w:rPr>
          <w:rtl w:val="0"/>
        </w:rPr>
        <w:t xml:space="preserve"> · Guo &amp; Liu, arXiv 2405.10917 — </w:t>
      </w:r>
      <w:hyperlink r:id="rId7">
        <w:r w:rsidDel="00000000" w:rsidR="00000000" w:rsidRPr="00000000">
          <w:rPr>
            <w:color w:val="1155cc"/>
            <w:u w:val="single"/>
            <w:rtl w:val="0"/>
          </w:rPr>
          <w:t xml:space="preserve">https://arxiv.org/abs/2405.10917</w:t>
        </w:r>
      </w:hyperlink>
      <w:r w:rsidDel="00000000" w:rsidR="00000000" w:rsidRPr="00000000">
        <w:rPr>
          <w:rtl w:val="0"/>
        </w:rPr>
        <w:t xml:space="preserve"> · Peter Brown interview transcript — </w:t>
      </w:r>
      <w:hyperlink r:id="rId8">
        <w:r w:rsidDel="00000000" w:rsidR="00000000" w:rsidRPr="00000000">
          <w:rPr>
            <w:color w:val="1155cc"/>
            <w:u w:val="single"/>
            <w:rtl w:val="0"/>
          </w:rPr>
          <w:t xml:space="preserve">https://marcellus.in/story/a-conversation-with-renaissance-technologies-ceo-peter-brown/</w:t>
        </w:r>
      </w:hyperlink>
      <w:r w:rsidDel="00000000" w:rsidR="00000000" w:rsidRPr="00000000">
        <w:rPr>
          <w:rtl w:val="0"/>
        </w:rPr>
        <w:t xml:space="preserve"> · II, Medallion +76% vs public funds — </w:t>
      </w:r>
      <w:hyperlink r:id="rId9">
        <w:r w:rsidDel="00000000" w:rsidR="00000000" w:rsidRPr="00000000">
          <w:rPr>
            <w:color w:val="1155cc"/>
            <w:u w:val="single"/>
            <w:rtl w:val="0"/>
          </w:rPr>
          <w:t xml:space="preserve">https://www.institutionalinvestor.com/article/2bswms7wco7as686o8ikg/portfolio/renaissances-medallion-fund-surged-76-in-2020-but-funds-open-to-outsiders-tanked</w:t>
        </w:r>
      </w:hyperlink>
      <w:r w:rsidDel="00000000" w:rsidR="00000000" w:rsidRPr="00000000">
        <w:rPr>
          <w:rtl w:val="0"/>
        </w:rPr>
        <w:t xml:space="preserve"> · II, Renaissance 2024 rebirth — </w:t>
      </w:r>
      <w:hyperlink r:id="rId10">
        <w:r w:rsidDel="00000000" w:rsidR="00000000" w:rsidRPr="00000000">
          <w:rPr>
            <w:color w:val="1155cc"/>
            <w:u w:val="single"/>
            <w:rtl w:val="0"/>
          </w:rPr>
          <w:t xml:space="preserve">https://www.institutionalinvestor.com/article/2e0uykr3vn5booz0smrcw/hedge-funds/renaissances-2024-rebirth</w:t>
        </w:r>
      </w:hyperlink>
      <w:r w:rsidDel="00000000" w:rsidR="00000000" w:rsidRPr="00000000">
        <w:rPr>
          <w:rtl w:val="0"/>
        </w:rPr>
        <w:t xml:space="preserve"> · II, Renaissance October 2025 losses — </w:t>
      </w:r>
      <w:hyperlink r:id="rId11">
        <w:r w:rsidDel="00000000" w:rsidR="00000000" w:rsidRPr="00000000">
          <w:rPr>
            <w:color w:val="1155cc"/>
            <w:u w:val="single"/>
            <w:rtl w:val="0"/>
          </w:rPr>
          <w:t xml:space="preserve">https://www.institutionalinvestor.com/article/renaissance-suffers-huge-losses-october</w:t>
        </w:r>
      </w:hyperlink>
      <w:r w:rsidDel="00000000" w:rsidR="00000000" w:rsidRPr="00000000">
        <w:rPr>
          <w:rtl w:val="0"/>
        </w:rPr>
        <w:t xml:space="preserve"> · Renaissance redemptions — </w:t>
      </w:r>
      <w:hyperlink r:id="rId12">
        <w:r w:rsidDel="00000000" w:rsidR="00000000" w:rsidRPr="00000000">
          <w:rPr>
            <w:color w:val="1155cc"/>
            <w:u w:val="single"/>
            <w:rtl w:val="0"/>
          </w:rPr>
          <w:t xml:space="preserve">https://www.thewealthadvisor.com/article/renaissance-suffers-11-billion-exodus-meager-quant-returns</w:t>
        </w:r>
      </w:hyperlink>
      <w:r w:rsidDel="00000000" w:rsidR="00000000" w:rsidRPr="00000000">
        <w:rPr>
          <w:rtl w:val="0"/>
        </w:rPr>
        <w:t xml:space="preserve"> · Renaissance IRS settlement — </w:t>
      </w:r>
      <w:hyperlink r:id="rId13">
        <w:r w:rsidDel="00000000" w:rsidR="00000000" w:rsidRPr="00000000">
          <w:rPr>
            <w:color w:val="1155cc"/>
            <w:u w:val="single"/>
            <w:rtl w:val="0"/>
          </w:rPr>
          <w:t xml:space="preserve">https://www.cnbc.com/2021/09/03/renaissance-executives-agree-to-pay-7-billion-to-settle-tax-dispute.html</w:t>
        </w:r>
      </w:hyperlink>
      <w:r w:rsidDel="00000000" w:rsidR="00000000" w:rsidRPr="00000000">
        <w:rPr>
          <w:rtl w:val="0"/>
        </w:rPr>
        <w:t xml:space="preserve"> · Senate PSI hearing — </w:t>
      </w:r>
      <w:hyperlink r:id="rId14">
        <w:r w:rsidDel="00000000" w:rsidR="00000000" w:rsidRPr="00000000">
          <w:rPr>
            <w:color w:val="1155cc"/>
            <w:u w:val="single"/>
            <w:rtl w:val="0"/>
          </w:rPr>
          <w:t xml:space="preserve">https://www.hsgac.senate.gov/subcommittees/investigations/hearings/abuse-of-structured-financial-products-misusing-basket-options-to-avoid-taxes-and-leverage-limits</w:t>
        </w:r>
      </w:hyperlink>
      <w:r w:rsidDel="00000000" w:rsidR="00000000" w:rsidRPr="00000000">
        <w:rPr>
          <w:rtl w:val="0"/>
        </w:rPr>
        <w:t xml:space="preserve"> · Straus and the data archaeology — </w:t>
      </w:r>
      <w:hyperlink r:id="rId15">
        <w:r w:rsidDel="00000000" w:rsidR="00000000" w:rsidRPr="00000000">
          <w:rPr>
            <w:color w:val="1155cc"/>
            <w:u w:val="single"/>
            <w:rtl w:val="0"/>
          </w:rPr>
          <w:t xml:space="preserve">https://mleverything.substack.com/p/how-renaissance-technologies-solved-the-market-part-1-2814eb271dc3</w:t>
        </w:r>
      </w:hyperlink>
      <w:r w:rsidDel="00000000" w:rsidR="00000000" w:rsidRPr="00000000">
        <w:rPr>
          <w:rtl w:val="0"/>
        </w:rPr>
        <w:t xml:space="preserve"> · Zuckerman book notes — </w:t>
      </w:r>
      <w:hyperlink r:id="rId16">
        <w:r w:rsidDel="00000000" w:rsidR="00000000" w:rsidRPr="00000000">
          <w:rPr>
            <w:color w:val="1155cc"/>
            <w:u w:val="single"/>
            <w:rtl w:val="0"/>
          </w:rPr>
          <w:t xml:space="preserve">https://novelinvestor.com/notes/the-man-who-solved-the-market-by-gregory-zuckerman/</w:t>
        </w:r>
      </w:hyperlink>
      <w:r w:rsidDel="00000000" w:rsidR="00000000" w:rsidRPr="00000000">
        <w:rPr>
          <w:rtl w:val="0"/>
        </w:rPr>
        <w:t xml:space="preserve"> · Simons Foundation obituary — </w:t>
      </w:r>
      <w:hyperlink r:id="rId17">
        <w:r w:rsidDel="00000000" w:rsidR="00000000" w:rsidRPr="00000000">
          <w:rPr>
            <w:color w:val="1155cc"/>
            <w:u w:val="single"/>
            <w:rtl w:val="0"/>
          </w:rPr>
          <w:t xml:space="preserve">https://www.simonsfoundation.org/2024/05/10/simons-foundation-co-founder-mathematician-and-investor-jim-simons-dies-at-86/</w:t>
        </w:r>
      </w:hyperlink>
      <w:r w:rsidDel="00000000" w:rsidR="00000000" w:rsidRPr="00000000">
        <w:rPr>
          <w:rtl w:val="0"/>
        </w:rPr>
        <w:t xml:space="preserve"> · Hohn NBIM transcript — </w:t>
      </w:r>
      <w:hyperlink r:id="rId18">
        <w:r w:rsidDel="00000000" w:rsidR="00000000" w:rsidRPr="00000000">
          <w:rPr>
            <w:color w:val="1155cc"/>
            <w:u w:val="single"/>
            <w:rtl w:val="0"/>
          </w:rPr>
          <w:t xml:space="preserve">https://www.icemancapital.com/p/sir-chris-hohn-transcript-from-in</w:t>
        </w:r>
      </w:hyperlink>
      <w:r w:rsidDel="00000000" w:rsidR="00000000" w:rsidRPr="00000000">
        <w:rPr>
          <w:rtl w:val="0"/>
        </w:rPr>
        <w:t xml:space="preserve"> · TCI Fund Management — </w:t>
      </w:r>
      <w:hyperlink r:id="rId19">
        <w:r w:rsidDel="00000000" w:rsidR="00000000" w:rsidRPr="00000000">
          <w:rPr>
            <w:color w:val="1155cc"/>
            <w:u w:val="single"/>
            <w:rtl w:val="0"/>
          </w:rPr>
          <w:t xml:space="preserve">https://www.tcifund.com/</w:t>
        </w:r>
      </w:hyperlink>
      <w:r w:rsidDel="00000000" w:rsidR="00000000" w:rsidRPr="00000000">
        <w:rPr>
          <w:rtl w:val="0"/>
        </w:rPr>
        <w:t xml:space="preserve"> · Forbes, TCI record 2025 — </w:t>
      </w:r>
      <w:hyperlink r:id="rId20">
        <w:r w:rsidDel="00000000" w:rsidR="00000000" w:rsidRPr="00000000">
          <w:rPr>
            <w:color w:val="1155cc"/>
            <w:u w:val="single"/>
            <w:rtl w:val="0"/>
          </w:rPr>
          <w:t xml:space="preserve">https://www.forbes.com/sites/hanktucker/2026/01/18/hedge-fund-billionaire-chris-hohns-tci-profited-by-a-record-189-billion-in-2025/</w:t>
        </w:r>
      </w:hyperlink>
      <w:r w:rsidDel="00000000" w:rsidR="00000000" w:rsidRPr="00000000">
        <w:rPr>
          <w:rtl w:val="0"/>
        </w:rPr>
        <w:t xml:space="preserve"> · II, TCI tops 2025 gains — </w:t>
      </w:r>
      <w:hyperlink r:id="rId21">
        <w:r w:rsidDel="00000000" w:rsidR="00000000" w:rsidRPr="00000000">
          <w:rPr>
            <w:color w:val="1155cc"/>
            <w:u w:val="single"/>
            <w:rtl w:val="0"/>
          </w:rPr>
          <w:t xml:space="preserve">https://www.institutionalinvestor.com/article/chris-hohns-tci-tops-hedge-fund-gains-2025</w:t>
        </w:r>
      </w:hyperlink>
      <w:r w:rsidDel="00000000" w:rsidR="00000000" w:rsidRPr="00000000">
        <w:rPr>
          <w:rtl w:val="0"/>
        </w:rPr>
        <w:t xml:space="preserve"> · II, TCI Q1 2026 speed bump — </w:t>
      </w:r>
      <w:hyperlink r:id="rId22">
        <w:r w:rsidDel="00000000" w:rsidR="00000000" w:rsidRPr="00000000">
          <w:rPr>
            <w:color w:val="1155cc"/>
            <w:u w:val="single"/>
            <w:rtl w:val="0"/>
          </w:rPr>
          <w:t xml:space="preserve">https://www.institutionalinvestor.com/article/after-record-year-tci-hits-speed-bump</w:t>
        </w:r>
      </w:hyperlink>
      <w:r w:rsidDel="00000000" w:rsidR="00000000" w:rsidRPr="00000000">
        <w:rPr>
          <w:rtl w:val="0"/>
        </w:rPr>
        <w:t xml:space="preserve"> · II, Hohn profile — </w:t>
      </w:r>
      <w:hyperlink r:id="rId23">
        <w:r w:rsidDel="00000000" w:rsidR="00000000" w:rsidRPr="00000000">
          <w:rPr>
            <w:color w:val="1155cc"/>
            <w:u w:val="single"/>
            <w:rtl w:val="0"/>
          </w:rPr>
          <w:t xml:space="preserve">https://www.institutionalinvestor.com/article/2bstnug68kijmzi8f50cg/culture/chris-hohn-is-a-hedge-fund-manager-like-no-other</w:t>
        </w:r>
      </w:hyperlink>
      <w:r w:rsidDel="00000000" w:rsidR="00000000" w:rsidRPr="00000000">
        <w:rPr>
          <w:rtl w:val="0"/>
        </w:rPr>
        <w:t xml:space="preserve"> · LCH top-20 survey — </w:t>
      </w:r>
      <w:hyperlink r:id="rId24">
        <w:r w:rsidDel="00000000" w:rsidR="00000000" w:rsidRPr="00000000">
          <w:rPr>
            <w:color w:val="1155cc"/>
            <w:u w:val="single"/>
            <w:rtl w:val="0"/>
          </w:rPr>
          <w:t xml:space="preserve">https://hedgefundalpha.com/news/top-20-hedge-funds-earn-115b-in-2025/</w:t>
        </w:r>
      </w:hyperlink>
      <w:r w:rsidDel="00000000" w:rsidR="00000000" w:rsidRPr="00000000">
        <w:rPr>
          <w:rtl w:val="0"/>
        </w:rPr>
        <w:t xml:space="preserve"> · TCI Q1 2026 13F — </w:t>
      </w:r>
      <w:hyperlink r:id="rId25">
        <w:r w:rsidDel="00000000" w:rsidR="00000000" w:rsidRPr="00000000">
          <w:rPr>
            <w:color w:val="1155cc"/>
            <w:u w:val="single"/>
            <w:rtl w:val="0"/>
          </w:rPr>
          <w:t xml:space="preserve">https://valuesider.com/guru/chris-hohn-tci-fund-management/portfolio</w:t>
        </w:r>
      </w:hyperlink>
      <w:r w:rsidDel="00000000" w:rsidR="00000000" w:rsidRPr="00000000">
        <w:rPr>
          <w:rtl w:val="0"/>
        </w:rPr>
        <w:t xml:space="preserve"> · WilmerHale on CSX v. TCI — </w:t>
      </w:r>
      <w:hyperlink r:id="rId26">
        <w:r w:rsidDel="00000000" w:rsidR="00000000" w:rsidRPr="00000000">
          <w:rPr>
            <w:color w:val="1155cc"/>
            <w:u w:val="single"/>
            <w:rtl w:val="0"/>
          </w:rPr>
          <w:t xml:space="preserve">https://www.wilmerhale.com/en/insights/publications/district-court-finds-hedge-funds-use-of-cash-settled-total-return-swaps-constitutes-scheme-to-evade-section-13-d-reporting-requirements-june-20-2008</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orbes.com/sites/hanktucker/2026/01/18/hedge-fund-billionaire-chris-hohns-tci-profited-by-a-record-189-billion-in-2025/" TargetMode="External"/><Relationship Id="rId22" Type="http://schemas.openxmlformats.org/officeDocument/2006/relationships/hyperlink" Target="https://www.institutionalinvestor.com/article/after-record-year-tci-hits-speed-bump" TargetMode="External"/><Relationship Id="rId21" Type="http://schemas.openxmlformats.org/officeDocument/2006/relationships/hyperlink" Target="https://www.institutionalinvestor.com/article/chris-hohns-tci-tops-hedge-fund-gains-2025" TargetMode="External"/><Relationship Id="rId24" Type="http://schemas.openxmlformats.org/officeDocument/2006/relationships/hyperlink" Target="https://hedgefundalpha.com/news/top-20-hedge-funds-earn-115b-in-2025/" TargetMode="External"/><Relationship Id="rId23" Type="http://schemas.openxmlformats.org/officeDocument/2006/relationships/hyperlink" Target="https://www.institutionalinvestor.com/article/2bstnug68kijmzi8f50cg/culture/chris-hohn-is-a-hedge-fund-manager-like-no-oth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itutionalinvestor.com/article/2bswms7wco7as686o8ikg/portfolio/renaissances-medallion-fund-surged-76-in-2020-but-funds-open-to-outsiders-tanked" TargetMode="External"/><Relationship Id="rId26" Type="http://schemas.openxmlformats.org/officeDocument/2006/relationships/hyperlink" Target="https://www.wilmerhale.com/en/insights/publications/district-court-finds-hedge-funds-use-of-cash-settled-total-return-swaps-constitutes-scheme-to-evade-section-13-d-reporting-requirements-june-20-2008" TargetMode="External"/><Relationship Id="rId25" Type="http://schemas.openxmlformats.org/officeDocument/2006/relationships/hyperlink" Target="https://valuesider.com/guru/chris-hohn-tci-fund-management/portfolio" TargetMode="External"/><Relationship Id="rId5" Type="http://schemas.openxmlformats.org/officeDocument/2006/relationships/styles" Target="styles.xml"/><Relationship Id="rId6" Type="http://schemas.openxmlformats.org/officeDocument/2006/relationships/hyperlink" Target="https://papers.ssrn.com/sol3/papers.cfm?abstract_id=3504766" TargetMode="External"/><Relationship Id="rId7" Type="http://schemas.openxmlformats.org/officeDocument/2006/relationships/hyperlink" Target="https://arxiv.org/abs/2405.10917" TargetMode="External"/><Relationship Id="rId8" Type="http://schemas.openxmlformats.org/officeDocument/2006/relationships/hyperlink" Target="https://marcellus.in/story/a-conversation-with-renaissance-technologies-ceo-peter-brown/" TargetMode="External"/><Relationship Id="rId11" Type="http://schemas.openxmlformats.org/officeDocument/2006/relationships/hyperlink" Target="https://www.institutionalinvestor.com/article/renaissance-suffers-huge-losses-october" TargetMode="External"/><Relationship Id="rId10" Type="http://schemas.openxmlformats.org/officeDocument/2006/relationships/hyperlink" Target="https://www.institutionalinvestor.com/article/2e0uykr3vn5booz0smrcw/hedge-funds/renaissances-2024-rebirth" TargetMode="External"/><Relationship Id="rId13" Type="http://schemas.openxmlformats.org/officeDocument/2006/relationships/hyperlink" Target="https://www.cnbc.com/2021/09/03/renaissance-executives-agree-to-pay-7-billion-to-settle-tax-dispute.html" TargetMode="External"/><Relationship Id="rId12" Type="http://schemas.openxmlformats.org/officeDocument/2006/relationships/hyperlink" Target="https://www.thewealthadvisor.com/article/renaissance-suffers-11-billion-exodus-meager-quant-returns" TargetMode="External"/><Relationship Id="rId15" Type="http://schemas.openxmlformats.org/officeDocument/2006/relationships/hyperlink" Target="https://mleverything.substack.com/p/how-renaissance-technologies-solved-the-market-part-1-2814eb271dc3" TargetMode="External"/><Relationship Id="rId14" Type="http://schemas.openxmlformats.org/officeDocument/2006/relationships/hyperlink" Target="https://www.hsgac.senate.gov/subcommittees/investigations/hearings/abuse-of-structured-financial-products-misusing-basket-options-to-avoid-taxes-and-leverage-limits" TargetMode="External"/><Relationship Id="rId17" Type="http://schemas.openxmlformats.org/officeDocument/2006/relationships/hyperlink" Target="https://www.simonsfoundation.org/2024/05/10/simons-foundation-co-founder-mathematician-and-investor-jim-simons-dies-at-86/" TargetMode="External"/><Relationship Id="rId16" Type="http://schemas.openxmlformats.org/officeDocument/2006/relationships/hyperlink" Target="https://novelinvestor.com/notes/the-man-who-solved-the-market-by-gregory-zuckerman/" TargetMode="External"/><Relationship Id="rId19" Type="http://schemas.openxmlformats.org/officeDocument/2006/relationships/hyperlink" Target="https://www.tcifund.com/" TargetMode="External"/><Relationship Id="rId18" Type="http://schemas.openxmlformats.org/officeDocument/2006/relationships/hyperlink" Target="https://www.icemancapital.com/p/sir-chris-hohn-transcript-fro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