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5B9A" w14:textId="4D0B2493" w:rsidR="001C522A" w:rsidRPr="001C522A" w:rsidRDefault="001C522A" w:rsidP="001C522A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Con relación a su solicitud informo a usted</w:t>
      </w:r>
      <w:r>
        <w:rPr>
          <w:rFonts w:ascii="Century Gothic" w:hAnsi="Century Gothic"/>
          <w:sz w:val="20"/>
          <w:szCs w:val="20"/>
        </w:rPr>
        <w:t xml:space="preserve">, </w:t>
      </w:r>
      <w:r w:rsidRPr="001C522A">
        <w:rPr>
          <w:rFonts w:ascii="Century Gothic" w:hAnsi="Century Gothic"/>
          <w:sz w:val="20"/>
          <w:szCs w:val="20"/>
        </w:rPr>
        <w:t xml:space="preserve">que en la municipalidad de Los Alamos </w:t>
      </w:r>
      <w:r w:rsidRPr="001C522A">
        <w:rPr>
          <w:rFonts w:ascii="Century Gothic" w:hAnsi="Century Gothic"/>
          <w:sz w:val="20"/>
          <w:szCs w:val="20"/>
        </w:rPr>
        <w:t>no existe unidad, departamento o dirección que tenga</w:t>
      </w:r>
      <w:r w:rsidRPr="001C522A">
        <w:rPr>
          <w:rFonts w:ascii="Century Gothic" w:hAnsi="Century Gothic"/>
          <w:sz w:val="20"/>
          <w:szCs w:val="20"/>
        </w:rPr>
        <w:t xml:space="preserve"> </w:t>
      </w:r>
      <w:r w:rsidRPr="001C522A">
        <w:rPr>
          <w:rFonts w:ascii="Century Gothic" w:hAnsi="Century Gothic"/>
          <w:sz w:val="20"/>
          <w:szCs w:val="20"/>
        </w:rPr>
        <w:t>incorporadas en sus funciones el cumplimiento de las obligaciones y procesos emanados de la ley</w:t>
      </w:r>
      <w:r w:rsidRPr="001C522A">
        <w:rPr>
          <w:rFonts w:ascii="Century Gothic" w:hAnsi="Century Gothic"/>
          <w:sz w:val="20"/>
          <w:szCs w:val="20"/>
        </w:rPr>
        <w:t xml:space="preserve"> </w:t>
      </w:r>
      <w:r w:rsidRPr="001C522A">
        <w:rPr>
          <w:rFonts w:ascii="Century Gothic" w:hAnsi="Century Gothic"/>
          <w:sz w:val="20"/>
          <w:szCs w:val="20"/>
        </w:rPr>
        <w:t>N</w:t>
      </w:r>
      <w:r w:rsidRPr="001C522A">
        <w:rPr>
          <w:rFonts w:ascii="Century Gothic" w:hAnsi="Century Gothic"/>
          <w:sz w:val="20"/>
          <w:szCs w:val="20"/>
        </w:rPr>
        <w:t>°</w:t>
      </w:r>
      <w:r w:rsidRPr="001C522A">
        <w:rPr>
          <w:rFonts w:ascii="Century Gothic" w:hAnsi="Century Gothic"/>
          <w:sz w:val="20"/>
          <w:szCs w:val="20"/>
        </w:rPr>
        <w:t>21.180.</w:t>
      </w:r>
    </w:p>
    <w:p w14:paraId="52962B7A" w14:textId="5BC8E9A8" w:rsidR="001C522A" w:rsidRPr="001C522A" w:rsidRDefault="001C522A" w:rsidP="001C522A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Actualmente nuestro municipio se encuentra trabajando un comité técnico asesor</w:t>
      </w:r>
      <w:r w:rsidRPr="001C522A">
        <w:rPr>
          <w:rFonts w:ascii="Century Gothic" w:hAnsi="Century Gothic"/>
          <w:sz w:val="20"/>
          <w:szCs w:val="20"/>
        </w:rPr>
        <w:t xml:space="preserve"> </w:t>
      </w:r>
      <w:r w:rsidRPr="001C522A">
        <w:rPr>
          <w:rFonts w:ascii="Century Gothic" w:hAnsi="Century Gothic"/>
          <w:sz w:val="20"/>
          <w:szCs w:val="20"/>
        </w:rPr>
        <w:t>encomendado para generar una planificación en materia de aplicación de dicha ley. Además,</w:t>
      </w:r>
      <w:r w:rsidRPr="001C522A">
        <w:rPr>
          <w:rFonts w:ascii="Century Gothic" w:hAnsi="Century Gothic"/>
          <w:sz w:val="20"/>
          <w:szCs w:val="20"/>
        </w:rPr>
        <w:t xml:space="preserve"> </w:t>
      </w:r>
      <w:r w:rsidRPr="001C522A">
        <w:rPr>
          <w:rFonts w:ascii="Century Gothic" w:hAnsi="Century Gothic"/>
          <w:sz w:val="20"/>
          <w:szCs w:val="20"/>
        </w:rPr>
        <w:t>entre las metas de mejoramiento de la gestión institucional se encuentra la modernización de</w:t>
      </w:r>
      <w:r w:rsidRPr="001C522A">
        <w:rPr>
          <w:rFonts w:ascii="Century Gothic" w:hAnsi="Century Gothic"/>
          <w:sz w:val="20"/>
          <w:szCs w:val="20"/>
        </w:rPr>
        <w:t xml:space="preserve"> </w:t>
      </w:r>
      <w:r w:rsidRPr="001C522A">
        <w:rPr>
          <w:rFonts w:ascii="Century Gothic" w:hAnsi="Century Gothic"/>
          <w:sz w:val="20"/>
          <w:szCs w:val="20"/>
        </w:rPr>
        <w:t>cierto tramites y servicios municipales.</w:t>
      </w:r>
    </w:p>
    <w:p w14:paraId="6FBD0983" w14:textId="01FE4E24" w:rsidR="001C522A" w:rsidRPr="00056CC6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056CC6">
        <w:rPr>
          <w:rFonts w:ascii="Century Gothic" w:hAnsi="Century Gothic"/>
          <w:b/>
          <w:bCs/>
          <w:sz w:val="20"/>
          <w:szCs w:val="20"/>
          <w:u w:val="single"/>
        </w:rPr>
        <w:t>I. De la Infraestructura tecnológica</w:t>
      </w:r>
    </w:p>
    <w:p w14:paraId="4222D662" w14:textId="77777777" w:rsidR="001C522A" w:rsidRP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1C522A">
        <w:rPr>
          <w:rFonts w:ascii="Century Gothic" w:hAnsi="Century Gothic"/>
          <w:b/>
          <w:bCs/>
          <w:sz w:val="20"/>
          <w:szCs w:val="20"/>
        </w:rPr>
        <w:t>1. Indicar si se hace uso de los siguientes elementos de seguridad informática:</w:t>
      </w:r>
    </w:p>
    <w:p w14:paraId="4D8747BD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a) Antivirus</w:t>
      </w:r>
    </w:p>
    <w:p w14:paraId="59D80B34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b) Antispam</w:t>
      </w:r>
    </w:p>
    <w:p w14:paraId="5032B929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c) Firewall</w:t>
      </w:r>
    </w:p>
    <w:p w14:paraId="6C3DF510" w14:textId="1FEF6239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d) Autentificación y criptografía</w:t>
      </w:r>
    </w:p>
    <w:p w14:paraId="09AE6250" w14:textId="7CEBA6E6" w:rsidR="001C522A" w:rsidRPr="006B25C8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6B25C8">
        <w:rPr>
          <w:rFonts w:ascii="Century Gothic" w:hAnsi="Century Gothic"/>
          <w:b/>
          <w:bCs/>
          <w:sz w:val="20"/>
          <w:szCs w:val="20"/>
        </w:rPr>
        <w:t>Indicar solo cuales elementos dispone la municipalidad</w:t>
      </w:r>
    </w:p>
    <w:p w14:paraId="321BE6A0" w14:textId="561726DA" w:rsidR="00035024" w:rsidRDefault="00035024" w:rsidP="001C522A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Respuesta: </w:t>
      </w:r>
      <w:r w:rsidR="006B25C8">
        <w:rPr>
          <w:rFonts w:ascii="Century Gothic" w:hAnsi="Century Gothic"/>
          <w:sz w:val="20"/>
          <w:szCs w:val="20"/>
        </w:rPr>
        <w:t xml:space="preserve">Antivirus, Firewall, Autenticación y criptografía. </w:t>
      </w:r>
    </w:p>
    <w:p w14:paraId="71CCBB5B" w14:textId="4C3C142E" w:rsidR="001C522A" w:rsidRPr="00056CC6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056CC6">
        <w:rPr>
          <w:rFonts w:ascii="Century Gothic" w:hAnsi="Century Gothic"/>
          <w:b/>
          <w:bCs/>
          <w:sz w:val="20"/>
          <w:szCs w:val="20"/>
          <w:u w:val="single"/>
        </w:rPr>
        <w:t>II. De recursos humanos del área informática:</w:t>
      </w:r>
    </w:p>
    <w:p w14:paraId="5D77203E" w14:textId="307639CA" w:rsid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1C522A">
        <w:rPr>
          <w:rFonts w:ascii="Century Gothic" w:hAnsi="Century Gothic"/>
          <w:b/>
          <w:bCs/>
          <w:sz w:val="20"/>
          <w:szCs w:val="20"/>
        </w:rPr>
        <w:t>2. Indicar el número de servidores presentes en la municipalidad</w:t>
      </w:r>
    </w:p>
    <w:p w14:paraId="4293B98C" w14:textId="2AF2BDB8" w:rsidR="006B25C8" w:rsidRPr="006B25C8" w:rsidRDefault="006B25C8" w:rsidP="001C522A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Respuesta:  1</w:t>
      </w:r>
    </w:p>
    <w:p w14:paraId="72D39C5D" w14:textId="7091C07B" w:rsidR="001C522A" w:rsidRPr="006B25C8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6B25C8">
        <w:rPr>
          <w:rFonts w:ascii="Century Gothic" w:hAnsi="Century Gothic"/>
          <w:b/>
          <w:bCs/>
          <w:sz w:val="20"/>
          <w:szCs w:val="20"/>
        </w:rPr>
        <w:t>3. Señalar si el municipio cuenta con un área informática</w:t>
      </w:r>
    </w:p>
    <w:p w14:paraId="2292150A" w14:textId="36A3C5C1" w:rsidR="00035024" w:rsidRPr="001C522A" w:rsidRDefault="00035024" w:rsidP="001C522A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Respuesta: Existe un encargado de oficina de informática.  </w:t>
      </w:r>
    </w:p>
    <w:p w14:paraId="3B22A1AF" w14:textId="30329E0A" w:rsid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6B25C8">
        <w:rPr>
          <w:rFonts w:ascii="Century Gothic" w:hAnsi="Century Gothic"/>
          <w:b/>
          <w:bCs/>
          <w:sz w:val="20"/>
          <w:szCs w:val="20"/>
        </w:rPr>
        <w:t>4. Indicar el nivel de estudios del jefe del área informática encargado de esta</w:t>
      </w:r>
    </w:p>
    <w:p w14:paraId="20E5A09B" w14:textId="103FD92F" w:rsidR="006B25C8" w:rsidRPr="006B25C8" w:rsidRDefault="006B25C8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6B25C8">
        <w:rPr>
          <w:rFonts w:ascii="Century Gothic" w:hAnsi="Century Gothic"/>
          <w:sz w:val="20"/>
          <w:szCs w:val="20"/>
        </w:rPr>
        <w:t xml:space="preserve">Respuesta: </w:t>
      </w:r>
      <w:r>
        <w:rPr>
          <w:rFonts w:ascii="Century Gothic" w:hAnsi="Century Gothic"/>
          <w:sz w:val="20"/>
          <w:szCs w:val="20"/>
        </w:rPr>
        <w:t xml:space="preserve">Técnico de nivel superior en informática </w:t>
      </w:r>
    </w:p>
    <w:p w14:paraId="3AA180D4" w14:textId="22BCCF41" w:rsid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6B25C8">
        <w:rPr>
          <w:rFonts w:ascii="Century Gothic" w:hAnsi="Century Gothic"/>
          <w:b/>
          <w:bCs/>
          <w:sz w:val="20"/>
          <w:szCs w:val="20"/>
        </w:rPr>
        <w:t>5. Precisar cuál es la dependencia organizacional del área informática</w:t>
      </w:r>
    </w:p>
    <w:p w14:paraId="39EAFD5E" w14:textId="35353AA2" w:rsidR="001C522A" w:rsidRPr="001C522A" w:rsidRDefault="006B25C8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6B25C8">
        <w:rPr>
          <w:rFonts w:ascii="Century Gothic" w:hAnsi="Century Gothic"/>
          <w:sz w:val="20"/>
          <w:szCs w:val="20"/>
        </w:rPr>
        <w:t xml:space="preserve">Respuesta: </w:t>
      </w:r>
      <w:r>
        <w:rPr>
          <w:rFonts w:ascii="Century Gothic" w:hAnsi="Century Gothic"/>
          <w:sz w:val="20"/>
          <w:szCs w:val="20"/>
        </w:rPr>
        <w:t xml:space="preserve">Dideco </w:t>
      </w:r>
    </w:p>
    <w:p w14:paraId="09F16717" w14:textId="28F01C2F" w:rsidR="006B6CFE" w:rsidRP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1C522A">
        <w:rPr>
          <w:rFonts w:ascii="Century Gothic" w:hAnsi="Century Gothic"/>
          <w:b/>
          <w:bCs/>
          <w:sz w:val="20"/>
          <w:szCs w:val="20"/>
        </w:rPr>
        <w:t>III. Gestión de la tecnología municipal</w:t>
      </w:r>
    </w:p>
    <w:p w14:paraId="3CE0E461" w14:textId="3D65001B" w:rsidR="001C522A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056CC6">
        <w:rPr>
          <w:rFonts w:ascii="Century Gothic" w:hAnsi="Century Gothic"/>
          <w:b/>
          <w:bCs/>
          <w:sz w:val="20"/>
          <w:szCs w:val="20"/>
        </w:rPr>
        <w:t>6. Señalar si el municipio cuenta con intranet municipal</w:t>
      </w:r>
    </w:p>
    <w:p w14:paraId="66C1D17D" w14:textId="0160B714" w:rsidR="006B25C8" w:rsidRPr="00056CC6" w:rsidRDefault="006B25C8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Respuesta: </w:t>
      </w:r>
      <w:r w:rsidRPr="006B25C8">
        <w:rPr>
          <w:rFonts w:ascii="Century Gothic" w:hAnsi="Century Gothic"/>
          <w:sz w:val="20"/>
          <w:szCs w:val="20"/>
        </w:rPr>
        <w:t xml:space="preserve">No </w:t>
      </w:r>
    </w:p>
    <w:p w14:paraId="765C6345" w14:textId="2E34E2C5" w:rsidR="001C522A" w:rsidRPr="00056CC6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</w:rPr>
      </w:pPr>
      <w:r w:rsidRPr="00056CC6">
        <w:rPr>
          <w:rFonts w:ascii="Century Gothic" w:hAnsi="Century Gothic"/>
          <w:b/>
          <w:bCs/>
          <w:sz w:val="20"/>
          <w:szCs w:val="20"/>
        </w:rPr>
        <w:t>7. Indicar el nivel de informatización de los siguientes procesos internos; en caso de que no se ocupen sistemas</w:t>
      </w:r>
      <w:r w:rsidRPr="00056CC6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056CC6">
        <w:rPr>
          <w:rFonts w:ascii="Century Gothic" w:hAnsi="Century Gothic"/>
          <w:b/>
          <w:bCs/>
          <w:sz w:val="20"/>
          <w:szCs w:val="20"/>
        </w:rPr>
        <w:t>informáticos, debe señalar si se emplea un sistema manual o plantillas electrónicas.</w:t>
      </w:r>
    </w:p>
    <w:p w14:paraId="7B1A634D" w14:textId="4EAE426E" w:rsidR="00035024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7.1. Inventario</w:t>
      </w:r>
      <w:r w:rsidR="00035024">
        <w:rPr>
          <w:rFonts w:ascii="Century Gothic" w:hAnsi="Century Gothic"/>
          <w:sz w:val="20"/>
          <w:szCs w:val="20"/>
        </w:rPr>
        <w:t xml:space="preserve"> </w:t>
      </w:r>
    </w:p>
    <w:p w14:paraId="68E8EC93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7.2. Oficina de Partes (Documentos)</w:t>
      </w:r>
    </w:p>
    <w:p w14:paraId="4AC8AFC0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7.3. Aseo y ornato (parques y jardines)</w:t>
      </w:r>
    </w:p>
    <w:p w14:paraId="100B2541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7.4. Planificación y control presupuestario</w:t>
      </w:r>
    </w:p>
    <w:p w14:paraId="16A0F38D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7.5. Ingreso/egreso Tesorería</w:t>
      </w:r>
    </w:p>
    <w:p w14:paraId="37AC1FE5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lastRenderedPageBreak/>
        <w:t>7.6. Rentas y Patentes (Industriales, profesionales, alcoholes, etc.)</w:t>
      </w:r>
    </w:p>
    <w:p w14:paraId="61506C75" w14:textId="0E375CB1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7.7. Licencias de conducir</w:t>
      </w:r>
      <w:r w:rsidR="00035024">
        <w:rPr>
          <w:rFonts w:ascii="Century Gothic" w:hAnsi="Century Gothic"/>
          <w:sz w:val="20"/>
          <w:szCs w:val="20"/>
        </w:rPr>
        <w:t xml:space="preserve"> </w:t>
      </w:r>
    </w:p>
    <w:p w14:paraId="655D9D4B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7.8. Permisos de circulación</w:t>
      </w:r>
    </w:p>
    <w:p w14:paraId="53682973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7.9. Juzgado de policía local y registro de multas</w:t>
      </w:r>
    </w:p>
    <w:p w14:paraId="5E0B0D7F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7.10. Inspección</w:t>
      </w:r>
    </w:p>
    <w:p w14:paraId="6911B07A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7.11. Administración del cementerio municipal</w:t>
      </w:r>
    </w:p>
    <w:p w14:paraId="66AC3560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7.12. Registro Social de hogares</w:t>
      </w:r>
    </w:p>
    <w:p w14:paraId="778883C8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7.13. Subsidios (incluye asistencia social y apoyo a la comunidad)</w:t>
      </w:r>
    </w:p>
    <w:p w14:paraId="4B347CAD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7.14. OMIL (bolsa de empleo)</w:t>
      </w:r>
    </w:p>
    <w:p w14:paraId="379FDDC7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7.15. Organizaciones comunitarias</w:t>
      </w:r>
    </w:p>
    <w:p w14:paraId="0B0BE879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7.16. Dirección de obras municipales (DOM)</w:t>
      </w:r>
    </w:p>
    <w:p w14:paraId="62E220E1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7.17. Administración de consultorios / farmacias</w:t>
      </w:r>
    </w:p>
    <w:p w14:paraId="1814370D" w14:textId="765C2BA4" w:rsid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7.18. Ventanilla única</w:t>
      </w:r>
    </w:p>
    <w:p w14:paraId="49032751" w14:textId="066FBA86" w:rsidR="006B25C8" w:rsidRPr="001C522A" w:rsidRDefault="008A7A1A" w:rsidP="001C522A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Respuesta: Para lo anterior </w:t>
      </w:r>
      <w:r w:rsidR="006B25C8">
        <w:rPr>
          <w:rFonts w:ascii="Century Gothic" w:hAnsi="Century Gothic"/>
          <w:sz w:val="20"/>
          <w:szCs w:val="20"/>
        </w:rPr>
        <w:t xml:space="preserve">la </w:t>
      </w:r>
      <w:r>
        <w:rPr>
          <w:rFonts w:ascii="Century Gothic" w:hAnsi="Century Gothic"/>
          <w:sz w:val="20"/>
          <w:szCs w:val="20"/>
        </w:rPr>
        <w:t xml:space="preserve">Municipalidad </w:t>
      </w:r>
      <w:r w:rsidR="006B25C8">
        <w:rPr>
          <w:rFonts w:ascii="Century Gothic" w:hAnsi="Century Gothic"/>
          <w:sz w:val="20"/>
          <w:szCs w:val="20"/>
        </w:rPr>
        <w:t xml:space="preserve">trabaja con el sistema </w:t>
      </w:r>
      <w:r>
        <w:rPr>
          <w:rFonts w:ascii="Century Gothic" w:hAnsi="Century Gothic"/>
          <w:sz w:val="20"/>
          <w:szCs w:val="20"/>
        </w:rPr>
        <w:t xml:space="preserve">informático SMC.  </w:t>
      </w:r>
    </w:p>
    <w:p w14:paraId="79C9F018" w14:textId="544A85E5" w:rsidR="001C522A" w:rsidRDefault="001C522A" w:rsidP="001C522A">
      <w:p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1C522A">
        <w:rPr>
          <w:rFonts w:ascii="Century Gothic" w:hAnsi="Century Gothic"/>
          <w:b/>
          <w:bCs/>
          <w:sz w:val="20"/>
          <w:szCs w:val="20"/>
        </w:rPr>
        <w:t>8. Señalar si el Plan de desarrollo comunal cuenta con una estrategia de desarrollo de servicios informáticos dirigidos a</w:t>
      </w:r>
      <w:r w:rsidRPr="001C522A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1C522A">
        <w:rPr>
          <w:rFonts w:ascii="Century Gothic" w:hAnsi="Century Gothic"/>
          <w:b/>
          <w:bCs/>
          <w:sz w:val="20"/>
          <w:szCs w:val="20"/>
        </w:rPr>
        <w:t>la ciudadanía, ya sea a mejorar la atención y/o servicios a la comunidad.</w:t>
      </w:r>
    </w:p>
    <w:p w14:paraId="49FF83BF" w14:textId="35E605C8" w:rsidR="008A7A1A" w:rsidRPr="008A7A1A" w:rsidRDefault="008A7A1A" w:rsidP="001C522A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Respuesta: </w:t>
      </w:r>
      <w:r w:rsidRPr="008A7A1A">
        <w:rPr>
          <w:rFonts w:ascii="Century Gothic" w:hAnsi="Century Gothic"/>
          <w:sz w:val="20"/>
          <w:szCs w:val="20"/>
        </w:rPr>
        <w:t xml:space="preserve">Si </w:t>
      </w:r>
    </w:p>
    <w:p w14:paraId="2920BE8A" w14:textId="4486703C" w:rsidR="001C522A" w:rsidRDefault="001C522A" w:rsidP="00056CC6">
      <w:p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056CC6">
        <w:rPr>
          <w:rFonts w:ascii="Century Gothic" w:hAnsi="Century Gothic"/>
          <w:b/>
          <w:bCs/>
          <w:sz w:val="20"/>
          <w:szCs w:val="20"/>
        </w:rPr>
        <w:t>9. Señalar si el Plan de desarrollo comunal cuenta con una estrategia de desarrollo de tecnológico para mejorar la</w:t>
      </w:r>
      <w:r w:rsidR="00056CC6" w:rsidRPr="00056CC6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056CC6">
        <w:rPr>
          <w:rFonts w:ascii="Century Gothic" w:hAnsi="Century Gothic"/>
          <w:b/>
          <w:bCs/>
          <w:sz w:val="20"/>
          <w:szCs w:val="20"/>
        </w:rPr>
        <w:t>gestión interna municipal.</w:t>
      </w:r>
    </w:p>
    <w:p w14:paraId="0719457E" w14:textId="0C97C38A" w:rsidR="00536EC8" w:rsidRPr="008A7A1A" w:rsidRDefault="008A7A1A" w:rsidP="00056CC6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Respuesta: </w:t>
      </w:r>
      <w:r w:rsidRPr="008A7A1A">
        <w:rPr>
          <w:rFonts w:ascii="Century Gothic" w:hAnsi="Century Gothic"/>
          <w:sz w:val="20"/>
          <w:szCs w:val="20"/>
        </w:rPr>
        <w:t>Si</w:t>
      </w:r>
    </w:p>
    <w:p w14:paraId="683A7F0F" w14:textId="77777777" w:rsidR="001C522A" w:rsidRPr="00056CC6" w:rsidRDefault="001C522A" w:rsidP="001C522A">
      <w:pPr>
        <w:spacing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056CC6">
        <w:rPr>
          <w:rFonts w:ascii="Century Gothic" w:hAnsi="Century Gothic"/>
          <w:b/>
          <w:bCs/>
          <w:sz w:val="20"/>
          <w:szCs w:val="20"/>
          <w:u w:val="single"/>
        </w:rPr>
        <w:t>IV. De los servicios municipales en línea</w:t>
      </w:r>
    </w:p>
    <w:p w14:paraId="77A98A22" w14:textId="4FB9403F" w:rsidR="001C522A" w:rsidRPr="00056CC6" w:rsidRDefault="001C522A" w:rsidP="00056CC6">
      <w:p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056CC6">
        <w:rPr>
          <w:rFonts w:ascii="Century Gothic" w:hAnsi="Century Gothic"/>
          <w:b/>
          <w:bCs/>
          <w:sz w:val="20"/>
          <w:szCs w:val="20"/>
        </w:rPr>
        <w:t>10. Indicar el número de servicios municipales posibles de ser realizados en línea a través del sitio web municipal,</w:t>
      </w:r>
      <w:r w:rsidR="00056CC6" w:rsidRPr="00056CC6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056CC6">
        <w:rPr>
          <w:rFonts w:ascii="Century Gothic" w:hAnsi="Century Gothic"/>
          <w:b/>
          <w:bCs/>
          <w:sz w:val="20"/>
          <w:szCs w:val="20"/>
        </w:rPr>
        <w:t>adicionalmente señalar si pueden ser pagados también en línea.</w:t>
      </w:r>
    </w:p>
    <w:p w14:paraId="3E25311D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1. Obtención de Patente comercial</w:t>
      </w:r>
    </w:p>
    <w:p w14:paraId="33D9FBA1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2. Renovación de la Patente comercial</w:t>
      </w:r>
    </w:p>
    <w:p w14:paraId="4C971E03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3. Pago de la Patente comercial</w:t>
      </w:r>
    </w:p>
    <w:p w14:paraId="5C6740B7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4. Obtención de la Patente industrial</w:t>
      </w:r>
    </w:p>
    <w:p w14:paraId="002A8E57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5. Renovación de la Patente industrial</w:t>
      </w:r>
    </w:p>
    <w:p w14:paraId="7BA35B9F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6. Obtención de Patente de alcoholes</w:t>
      </w:r>
    </w:p>
    <w:p w14:paraId="44FECF8F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7. Renovación de la Patente de alcoholes</w:t>
      </w:r>
    </w:p>
    <w:p w14:paraId="7E6D7F48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8. Pago de la Patente de alcoholes</w:t>
      </w:r>
    </w:p>
    <w:p w14:paraId="49B8E14B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9. Certificado de no expropiación</w:t>
      </w:r>
    </w:p>
    <w:p w14:paraId="54A7E910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10. Permiso de demolición</w:t>
      </w:r>
    </w:p>
    <w:p w14:paraId="48A4FD74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lastRenderedPageBreak/>
        <w:t>11. Obtención de Permiso de edificación</w:t>
      </w:r>
    </w:p>
    <w:p w14:paraId="7C9C2188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12. Renovación de Permiso de edificación</w:t>
      </w:r>
    </w:p>
    <w:p w14:paraId="0CBF48CF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13. Pago de Permiso de edificación</w:t>
      </w:r>
    </w:p>
    <w:p w14:paraId="2158DDFB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14. Permiso de uso de bienes nacionales de uso público</w:t>
      </w:r>
    </w:p>
    <w:p w14:paraId="6948A32C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15. Informe de zonificación</w:t>
      </w:r>
    </w:p>
    <w:p w14:paraId="22A8C9A5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16. Recepción de obra</w:t>
      </w:r>
    </w:p>
    <w:p w14:paraId="404C7FAE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17. Certificado de informaciones previas</w:t>
      </w:r>
    </w:p>
    <w:p w14:paraId="51CB0DA7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056CC6">
        <w:rPr>
          <w:rFonts w:ascii="Century Gothic" w:hAnsi="Century Gothic"/>
          <w:sz w:val="20"/>
          <w:szCs w:val="20"/>
        </w:rPr>
        <w:t>18. Permiso de circulación</w:t>
      </w:r>
    </w:p>
    <w:p w14:paraId="75D79888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19. Pago de multas en Juzgado de policía local</w:t>
      </w:r>
    </w:p>
    <w:p w14:paraId="6B038394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20. Solicitud de corte y poda de árboles</w:t>
      </w:r>
    </w:p>
    <w:p w14:paraId="00DBAD72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21. Solicitud de cambio de domicilio</w:t>
      </w:r>
    </w:p>
    <w:p w14:paraId="06999874" w14:textId="77777777" w:rsidR="001C522A" w:rsidRP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22. Obtención de patente comercial</w:t>
      </w:r>
    </w:p>
    <w:p w14:paraId="5B80F051" w14:textId="234C52E9" w:rsidR="001C522A" w:rsidRDefault="001C522A" w:rsidP="001C522A">
      <w:pPr>
        <w:spacing w:line="240" w:lineRule="auto"/>
        <w:rPr>
          <w:rFonts w:ascii="Century Gothic" w:hAnsi="Century Gothic"/>
          <w:sz w:val="20"/>
          <w:szCs w:val="20"/>
        </w:rPr>
      </w:pPr>
      <w:r w:rsidRPr="001C522A">
        <w:rPr>
          <w:rFonts w:ascii="Century Gothic" w:hAnsi="Century Gothic"/>
          <w:sz w:val="20"/>
          <w:szCs w:val="20"/>
        </w:rPr>
        <w:t>23. Otro (Indicar)</w:t>
      </w:r>
    </w:p>
    <w:p w14:paraId="421572E9" w14:textId="77777777" w:rsidR="00536EC8" w:rsidRDefault="00536EC8" w:rsidP="001C522A">
      <w:pPr>
        <w:spacing w:line="240" w:lineRule="auto"/>
        <w:rPr>
          <w:rFonts w:ascii="Century Gothic" w:hAnsi="Century Gothic"/>
          <w:sz w:val="20"/>
          <w:szCs w:val="20"/>
        </w:rPr>
      </w:pPr>
    </w:p>
    <w:p w14:paraId="77584CD8" w14:textId="5BA6A672" w:rsidR="00056CC6" w:rsidRDefault="00536EC8" w:rsidP="001C522A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Municipalidad de Los Alamos tiene lo siguientes tramites en línea: </w:t>
      </w:r>
      <w:r w:rsidR="00056CC6">
        <w:rPr>
          <w:rFonts w:ascii="Century Gothic" w:hAnsi="Century Gothic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56CC6" w14:paraId="6191361E" w14:textId="77777777" w:rsidTr="00536EC8">
        <w:tc>
          <w:tcPr>
            <w:tcW w:w="1696" w:type="dxa"/>
          </w:tcPr>
          <w:p w14:paraId="596D0A96" w14:textId="22A12F05" w:rsidR="00056CC6" w:rsidRDefault="00056CC6" w:rsidP="001C522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DOM DIGITAL </w:t>
            </w:r>
          </w:p>
        </w:tc>
        <w:tc>
          <w:tcPr>
            <w:tcW w:w="7132" w:type="dxa"/>
          </w:tcPr>
          <w:p w14:paraId="7762028E" w14:textId="77777777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PERMISO DE OBRAS MENORES </w:t>
            </w:r>
          </w:p>
          <w:p w14:paraId="21D1A507" w14:textId="77777777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PERMISOS DE EDIFICACION </w:t>
            </w:r>
          </w:p>
          <w:p w14:paraId="3F132823" w14:textId="02B4CE52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SUBSIDIO Y EDIFICACION </w:t>
            </w:r>
          </w:p>
          <w:p w14:paraId="6D5BCBEB" w14:textId="451AEA48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FORMULARIOS DIVISION DEL SUELO Y CONDOMINIOS CON AFECTACION A UTILIDAD PUBLICA </w:t>
            </w:r>
          </w:p>
          <w:p w14:paraId="349AB881" w14:textId="635F44E7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FORMULARIO DE SOLICITUDES Y CERTIFICACIONES VARIAS </w:t>
            </w:r>
          </w:p>
          <w:p w14:paraId="58E34F32" w14:textId="5903941D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>FORMULARIOS DE REGULARIZACION LEY 21.031 Y LEY 21.052</w:t>
            </w:r>
          </w:p>
          <w:p w14:paraId="795605F5" w14:textId="0EA3DF7B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PERMISO DE INSTALACION DE TORRES Y SOPORTE ANTENAS </w:t>
            </w:r>
          </w:p>
          <w:p w14:paraId="3FC11ABF" w14:textId="1EC3CBFC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>FORMULARIOS DE REGULARIZACION LEY 20.898</w:t>
            </w:r>
          </w:p>
          <w:p w14:paraId="58754E00" w14:textId="0E75E308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 xml:space="preserve">CERTIFICADOS </w:t>
            </w:r>
          </w:p>
          <w:p w14:paraId="5B937176" w14:textId="6DFEE03C" w:rsidR="00056CC6" w:rsidRPr="00536EC8" w:rsidRDefault="00056CC6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536EC8">
              <w:rPr>
                <w:rFonts w:ascii="Century Gothic" w:hAnsi="Century Gothic"/>
                <w:sz w:val="20"/>
                <w:szCs w:val="20"/>
              </w:rPr>
              <w:t>OTROS TRAMITES MUNICIPALES (</w:t>
            </w:r>
            <w:r w:rsidR="00536EC8" w:rsidRPr="00536EC8">
              <w:rPr>
                <w:rFonts w:ascii="Century Gothic" w:hAnsi="Century Gothic"/>
                <w:sz w:val="20"/>
                <w:szCs w:val="20"/>
              </w:rPr>
              <w:t xml:space="preserve">SOLICITUD DE RECLAMOS, SOLICITUD DE DESARCHIVOS, OCUPACION DE ESPACIO PUBLICO) </w:t>
            </w:r>
          </w:p>
          <w:p w14:paraId="6B0AFC66" w14:textId="77777777" w:rsidR="00056CC6" w:rsidRDefault="00056CC6" w:rsidP="001C522A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66DE3E8" w14:textId="0C4D25B2" w:rsidR="00536EC8" w:rsidRDefault="00536EC8" w:rsidP="001C522A">
            <w:pPr>
              <w:rPr>
                <w:rFonts w:ascii="Century Gothic" w:hAnsi="Century Gothic"/>
                <w:sz w:val="20"/>
                <w:szCs w:val="20"/>
              </w:rPr>
            </w:pPr>
            <w:hyperlink r:id="rId5" w:history="1">
              <w:r w:rsidRPr="00CC0905">
                <w:rPr>
                  <w:rStyle w:val="Hipervnculo"/>
                  <w:rFonts w:ascii="Century Gothic" w:hAnsi="Century Gothic"/>
                  <w:sz w:val="20"/>
                  <w:szCs w:val="20"/>
                </w:rPr>
                <w:t>https://losalamos.domdigital.cl/Account/Login</w:t>
              </w:r>
            </w:hyperlink>
          </w:p>
          <w:p w14:paraId="0A0E6EDE" w14:textId="77777777" w:rsidR="00536EC8" w:rsidRDefault="00536EC8" w:rsidP="001C522A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73BF0C9" w14:textId="7D45B641" w:rsidR="00536EC8" w:rsidRDefault="00536EC8" w:rsidP="001C522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36EC8" w14:paraId="051638EA" w14:textId="77777777" w:rsidTr="00536EC8">
        <w:tc>
          <w:tcPr>
            <w:tcW w:w="1696" w:type="dxa"/>
          </w:tcPr>
          <w:p w14:paraId="729B7505" w14:textId="590B0616" w:rsidR="00536EC8" w:rsidRDefault="00536EC8" w:rsidP="001C522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TRANSITO </w:t>
            </w:r>
          </w:p>
        </w:tc>
        <w:tc>
          <w:tcPr>
            <w:tcW w:w="7132" w:type="dxa"/>
          </w:tcPr>
          <w:p w14:paraId="109FA0A6" w14:textId="77777777" w:rsidR="00536EC8" w:rsidRDefault="00536EC8" w:rsidP="00536EC8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PAGOS DE PERMISOS DE CIRCULACION </w:t>
            </w:r>
          </w:p>
          <w:p w14:paraId="3F3811E8" w14:textId="77777777" w:rsidR="00536EC8" w:rsidRDefault="00536EC8" w:rsidP="00536EC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9A343DC" w14:textId="30AC7E41" w:rsidR="00536EC8" w:rsidRDefault="00536EC8" w:rsidP="00536EC8">
            <w:pPr>
              <w:rPr>
                <w:rFonts w:ascii="Century Gothic" w:hAnsi="Century Gothic"/>
                <w:sz w:val="20"/>
                <w:szCs w:val="20"/>
              </w:rPr>
            </w:pPr>
            <w:hyperlink r:id="rId6" w:history="1">
              <w:r w:rsidRPr="00CC0905">
                <w:rPr>
                  <w:rStyle w:val="Hipervnculo"/>
                  <w:rFonts w:ascii="Century Gothic" w:hAnsi="Century Gothic"/>
                  <w:sz w:val="20"/>
                  <w:szCs w:val="20"/>
                </w:rPr>
                <w:t>https://www.munilosalamos.cl/web/tramite-en-linea-transito/</w:t>
              </w:r>
            </w:hyperlink>
          </w:p>
          <w:p w14:paraId="50E53B06" w14:textId="2064E49E" w:rsidR="00536EC8" w:rsidRPr="00536EC8" w:rsidRDefault="00536EC8" w:rsidP="00536EC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D87617B" w14:textId="77777777" w:rsidR="00056CC6" w:rsidRPr="001C522A" w:rsidRDefault="00056CC6" w:rsidP="001C522A">
      <w:pPr>
        <w:spacing w:line="240" w:lineRule="auto"/>
        <w:rPr>
          <w:rFonts w:ascii="Century Gothic" w:hAnsi="Century Gothic"/>
          <w:sz w:val="20"/>
          <w:szCs w:val="20"/>
        </w:rPr>
      </w:pPr>
    </w:p>
    <w:sectPr w:rsidR="00056CC6" w:rsidRPr="001C5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8ED"/>
    <w:multiLevelType w:val="hybridMultilevel"/>
    <w:tmpl w:val="4AB8C5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6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2A"/>
    <w:rsid w:val="00035024"/>
    <w:rsid w:val="00056CC6"/>
    <w:rsid w:val="001C522A"/>
    <w:rsid w:val="00536EC8"/>
    <w:rsid w:val="006B25C8"/>
    <w:rsid w:val="006B6CFE"/>
    <w:rsid w:val="008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8A77"/>
  <w15:chartTrackingRefBased/>
  <w15:docId w15:val="{A9630AEB-D42E-4BE9-AB7E-F88C459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E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6E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nilosalamos.cl/web/tramite-en-linea-transito/" TargetMode="External"/><Relationship Id="rId5" Type="http://schemas.openxmlformats.org/officeDocument/2006/relationships/hyperlink" Target="https://losalamos.domdigital.cl/Account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Hidalgo</dc:creator>
  <cp:keywords/>
  <dc:description/>
  <cp:lastModifiedBy>Fabiola Hidalgo</cp:lastModifiedBy>
  <cp:revision>1</cp:revision>
  <cp:lastPrinted>2022-10-27T16:08:00Z</cp:lastPrinted>
  <dcterms:created xsi:type="dcterms:W3CDTF">2022-10-27T15:09:00Z</dcterms:created>
  <dcterms:modified xsi:type="dcterms:W3CDTF">2022-10-27T16:10:00Z</dcterms:modified>
</cp:coreProperties>
</file>