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ejemplo</w:t>
      </w:r>
    </w:p>
    <w:p>
      <w:pPr>
        <w:pStyle w:val="Heading1"/>
      </w:pPr>
      <w:r>
        <w:t>1. Formato de texto</w:t>
      </w:r>
    </w:p>
    <w:p>
      <w:r>
        <w:t xml:space="preserve">Texto normal, </w:t>
      </w:r>
      <w:r>
        <w:rPr>
          <w:b/>
        </w:rPr>
        <w:t>negrita</w:t>
      </w:r>
      <w:r>
        <w:t xml:space="preserve">, </w:t>
      </w:r>
      <w:r>
        <w:rPr>
          <w:i/>
        </w:rPr>
        <w:t>cursiva</w:t>
      </w:r>
      <w:r>
        <w:t xml:space="preserve">, </w:t>
      </w:r>
      <w:r>
        <w:rPr>
          <w:u w:val="single"/>
        </w:rPr>
        <w:t>subrayado</w:t>
      </w:r>
      <w:r>
        <w:t xml:space="preserve">, </w:t>
      </w:r>
      <w:r>
        <w:rPr>
          <w:color w:val="C02020"/>
        </w:rPr>
        <w:t>color rojo</w:t>
      </w:r>
      <w:r>
        <w:t xml:space="preserve"> y tamaño </w:t>
      </w:r>
      <w:r>
        <w:rPr>
          <w:sz w:val="40"/>
        </w:rPr>
        <w:t>grande</w:t>
      </w:r>
      <w:r>
        <w:t>. Acentos: á é í ó ú ñ ¿? ¡!</w:t>
      </w:r>
    </w:p>
    <w:p>
      <w:pPr>
        <w:jc w:val="center"/>
      </w:pPr>
      <w:r>
        <w:t>Párrafo centrado</w:t>
      </w:r>
    </w:p>
    <w:p>
      <w:pPr>
        <w:pStyle w:val="Heading1"/>
      </w:pPr>
      <w:r>
        <w:t>2. Listas</w:t>
      </w:r>
    </w:p>
    <w:p>
      <w:pPr>
        <w:pStyle w:val="ListBullet"/>
      </w:pPr>
      <w:r>
        <w:t>Elemento con viñeta uno</w:t>
      </w:r>
    </w:p>
    <w:p>
      <w:pPr>
        <w:pStyle w:val="ListBullet"/>
      </w:pPr>
      <w:r>
        <w:t>Elemento con viñeta dos</w:t>
      </w:r>
    </w:p>
    <w:p>
      <w:pPr>
        <w:pStyle w:val="ListNumber"/>
      </w:pPr>
      <w:r>
        <w:t>Primer paso numerado</w:t>
      </w:r>
    </w:p>
    <w:p>
      <w:pPr>
        <w:pStyle w:val="ListNumber"/>
      </w:pPr>
      <w:r>
        <w:t>Segundo paso numerado</w:t>
      </w:r>
    </w:p>
    <w:p>
      <w:pPr>
        <w:pStyle w:val="Heading1"/>
      </w:pPr>
      <w:r>
        <w:t>3. Tabla</w:t>
      </w:r>
    </w:p>
    <w:tbl>
      <w:tblPr>
        <w:tblStyle w:val="TableGrid"/>
        <w:tblW w:type="auto" w:w="0"/>
        <w:tblLook w:firstColumn="1" w:firstRow="1" w:lastColumn="0" w:lastRow="0" w:noHBand="0" w:noVBand="1" w:val="04A0"/>
      </w:tblPr>
      <w:tblGrid>
        <w:gridCol w:w="2880"/>
        <w:gridCol w:w="2880"/>
        <w:gridCol w:w="2880"/>
      </w:tblGrid>
      <w:tr>
        <w:tc>
          <w:tcPr>
            <w:tcW w:type="dxa" w:w="2880"/>
          </w:tcPr>
          <w:p>
            <w:r>
              <w:t>Celda 1-1</w:t>
            </w:r>
          </w:p>
        </w:tc>
        <w:tc>
          <w:tcPr>
            <w:tcW w:type="dxa" w:w="2880"/>
          </w:tcPr>
          <w:p>
            <w:r>
              <w:t>Celda 1-2</w:t>
            </w:r>
          </w:p>
        </w:tc>
        <w:tc>
          <w:tcPr>
            <w:tcW w:type="dxa" w:w="2880"/>
          </w:tcPr>
          <w:p>
            <w:r>
              <w:t>Celda 1-3</w:t>
            </w:r>
          </w:p>
        </w:tc>
      </w:tr>
      <w:tr>
        <w:tc>
          <w:tcPr>
            <w:tcW w:type="dxa" w:w="2880"/>
          </w:tcPr>
          <w:p>
            <w:r>
              <w:t>Celda 2-1</w:t>
            </w:r>
          </w:p>
        </w:tc>
        <w:tc>
          <w:tcPr>
            <w:tcW w:type="dxa" w:w="2880"/>
          </w:tcPr>
          <w:p>
            <w:r>
              <w:t>Celda 2-2</w:t>
            </w:r>
          </w:p>
        </w:tc>
        <w:tc>
          <w:tcPr>
            <w:tcW w:type="dxa" w:w="2880"/>
          </w:tcPr>
          <w:p>
            <w:r>
              <w:t>Celda 2-3</w:t>
            </w:r>
          </w:p>
        </w:tc>
      </w:tr>
      <w:tr>
        <w:tc>
          <w:tcPr>
            <w:tcW w:type="dxa" w:w="2880"/>
          </w:tcPr>
          <w:p>
            <w:r>
              <w:t>Celda 3-1</w:t>
            </w:r>
          </w:p>
        </w:tc>
        <w:tc>
          <w:tcPr>
            <w:tcW w:type="dxa" w:w="2880"/>
          </w:tcPr>
          <w:p>
            <w:r>
              <w:t>Celda 3-2</w:t>
            </w:r>
          </w:p>
        </w:tc>
        <w:tc>
          <w:tcPr>
            <w:tcW w:type="dxa" w:w="2880"/>
          </w:tcPr>
          <w:p>
            <w:r>
              <w:t>Celda 3-3</w:t>
            </w:r>
          </w:p>
        </w:tc>
      </w:tr>
    </w:tbl>
    <w:p>
      <w:pPr>
        <w:pStyle w:val="Heading1"/>
      </w:pPr>
      <w:r>
        <w:t>4. Imagen</w:t>
      </w:r>
    </w:p>
    <w:p>
      <w:r>
        <w:drawing>
          <wp:inline xmlns:a="http://schemas.openxmlformats.org/drawingml/2006/main" xmlns:pic="http://schemas.openxmlformats.org/drawingml/2006/picture">
            <wp:extent cx="3657600" cy="1524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1524000"/>
                    </a:xfrm>
                    <a:prstGeom prst="rect"/>
                  </pic:spPr>
                </pic:pic>
              </a:graphicData>
            </a:graphic>
          </wp:inline>
        </w:drawing>
      </w:r>
    </w:p>
    <w:p>
      <w:r>
        <w:t xml:space="preserve">Texto largo para probar el ajuste de línea. Texto largo para probar el ajuste de línea. Texto largo para probar el ajuste de línea. Texto largo para probar el ajuste de línea. Texto largo para probar el ajuste de línea. Texto largo para probar el ajuste de línea. Texto largo para probar el ajuste de línea. Texto largo para probar el ajuste de línea. Texto largo para probar el ajuste de línea. Texto largo para probar el ajuste de línea. Texto largo para probar el ajuste de línea. Texto largo para probar el ajuste de línea.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