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Calibri" w:hAnsi="Calibri"/>
          <w:b/>
          <w:color w:val="0F172A"/>
          <w:sz w:val="64"/>
        </w:rPr>
        <w:t>ETHIO-CYBERGUARD</w:t>
      </w:r>
    </w:p>
    <w:p>
      <w:pPr>
        <w:spacing w:after="360"/>
      </w:pPr>
      <w:r>
        <w:rPr>
          <w:rFonts w:ascii="Calibri" w:hAnsi="Calibri"/>
          <w:b/>
          <w:color w:val="0284C7"/>
          <w:sz w:val="32"/>
        </w:rPr>
        <w:t>Comprehensive Technical Dossier: Implemented Architecture, Strategic Objectives, and Detailed Gap Analysis</w:t>
      </w:r>
    </w:p>
    <w:tbl>
      <w:tblPr>
        <w:tblW w:type="auto" w:w="0"/>
        <w:jc w:val="center"/>
        <w:tblLook w:firstColumn="1" w:firstRow="1" w:lastColumn="0" w:lastRow="0" w:noHBand="0" w:noVBand="1" w:val="04A0"/>
      </w:tblPr>
      <w:tblGrid>
        <w:gridCol w:w="4680"/>
        <w:gridCol w:w="4680"/>
      </w:tblGrid>
      <w:tr>
        <w:tc>
          <w:tcPr>
            <w:tcW w:type="dxa" w:w="2880"/>
            <w:shd w:fill="F1F5F9"/>
            <w:tcMar>
              <w:top w:w="60" w:type="dxa"/>
              <w:bottom w:w="60" w:type="dxa"/>
              <w:left w:w="100" w:type="dxa"/>
              <w:right w:w="100" w:type="dxa"/>
            </w:tcMar>
          </w:tcPr>
          <w:p>
            <w:r>
              <w:rPr>
                <w:b/>
                <w:color w:val="0F172A"/>
                <w:sz w:val="19"/>
              </w:rPr>
              <w:t>Platform Version:</w:t>
            </w:r>
          </w:p>
        </w:tc>
        <w:tc>
          <w:tcPr>
            <w:tcW w:type="dxa" w:w="6480"/>
            <w:shd w:fill="FFFFFF"/>
            <w:tcMar>
              <w:top w:w="60" w:type="dxa"/>
              <w:bottom w:w="60" w:type="dxa"/>
              <w:left w:w="100" w:type="dxa"/>
              <w:right w:w="100" w:type="dxa"/>
            </w:tcMar>
          </w:tcPr>
          <w:p>
            <w:r>
              <w:rPr>
                <w:color w:val="334155"/>
                <w:sz w:val="19"/>
              </w:rPr>
              <w:t>1.1.0 (Production Hardened)</w:t>
            </w:r>
          </w:p>
        </w:tc>
      </w:tr>
      <w:tr>
        <w:tc>
          <w:tcPr>
            <w:tcW w:type="dxa" w:w="2880"/>
            <w:shd w:fill="F1F5F9"/>
            <w:tcMar>
              <w:top w:w="60" w:type="dxa"/>
              <w:bottom w:w="60" w:type="dxa"/>
              <w:left w:w="100" w:type="dxa"/>
              <w:right w:w="100" w:type="dxa"/>
            </w:tcMar>
          </w:tcPr>
          <w:p>
            <w:r>
              <w:rPr>
                <w:b/>
                <w:color w:val="0F172A"/>
                <w:sz w:val="19"/>
              </w:rPr>
              <w:t>Classification:</w:t>
            </w:r>
          </w:p>
        </w:tc>
        <w:tc>
          <w:tcPr>
            <w:tcW w:type="dxa" w:w="6480"/>
            <w:shd w:fill="FFFFFF"/>
            <w:tcMar>
              <w:top w:w="60" w:type="dxa"/>
              <w:bottom w:w="60" w:type="dxa"/>
              <w:left w:w="100" w:type="dxa"/>
              <w:right w:w="100" w:type="dxa"/>
            </w:tcMar>
          </w:tcPr>
          <w:p>
            <w:r>
              <w:rPr>
                <w:color w:val="334155"/>
                <w:sz w:val="19"/>
              </w:rPr>
              <w:t>Enterprise Confidential / Technical White Paper</w:t>
            </w:r>
          </w:p>
        </w:tc>
      </w:tr>
      <w:tr>
        <w:tc>
          <w:tcPr>
            <w:tcW w:type="dxa" w:w="2880"/>
            <w:shd w:fill="F1F5F9"/>
            <w:tcMar>
              <w:top w:w="60" w:type="dxa"/>
              <w:bottom w:w="60" w:type="dxa"/>
              <w:left w:w="100" w:type="dxa"/>
              <w:right w:w="100" w:type="dxa"/>
            </w:tcMar>
          </w:tcPr>
          <w:p>
            <w:r>
              <w:rPr>
                <w:b/>
                <w:color w:val="0F172A"/>
                <w:sz w:val="19"/>
              </w:rPr>
              <w:t>Target Sectors:</w:t>
            </w:r>
          </w:p>
        </w:tc>
        <w:tc>
          <w:tcPr>
            <w:tcW w:type="dxa" w:w="6480"/>
            <w:shd w:fill="FFFFFF"/>
            <w:tcMar>
              <w:top w:w="60" w:type="dxa"/>
              <w:bottom w:w="60" w:type="dxa"/>
              <w:left w:w="100" w:type="dxa"/>
              <w:right w:w="100" w:type="dxa"/>
            </w:tcMar>
          </w:tcPr>
          <w:p>
            <w:r>
              <w:rPr>
                <w:color w:val="334155"/>
                <w:sz w:val="19"/>
              </w:rPr>
              <w:t>Commercial Bank of Ethiopia (CBE), Ethio Telecom, INSA, National Power Grid</w:t>
            </w:r>
          </w:p>
        </w:tc>
      </w:tr>
      <w:tr>
        <w:tc>
          <w:tcPr>
            <w:tcW w:type="dxa" w:w="2880"/>
            <w:shd w:fill="F1F5F9"/>
            <w:tcMar>
              <w:top w:w="60" w:type="dxa"/>
              <w:bottom w:w="60" w:type="dxa"/>
              <w:left w:w="100" w:type="dxa"/>
              <w:right w:w="100" w:type="dxa"/>
            </w:tcMar>
          </w:tcPr>
          <w:p>
            <w:r>
              <w:rPr>
                <w:b/>
                <w:color w:val="0F172A"/>
                <w:sz w:val="19"/>
              </w:rPr>
              <w:t>Verification Status:</w:t>
            </w:r>
          </w:p>
        </w:tc>
        <w:tc>
          <w:tcPr>
            <w:tcW w:type="dxa" w:w="6480"/>
            <w:shd w:fill="FFFFFF"/>
            <w:tcMar>
              <w:top w:w="60" w:type="dxa"/>
              <w:bottom w:w="60" w:type="dxa"/>
              <w:left w:w="100" w:type="dxa"/>
              <w:right w:w="100" w:type="dxa"/>
            </w:tcMar>
          </w:tcPr>
          <w:p>
            <w:r>
              <w:rPr>
                <w:color w:val="334155"/>
                <w:sz w:val="19"/>
              </w:rPr>
              <w:t>75/75 Automated Tests Passed (100% Green Rate), Oxlint 0 Warnings</w:t>
            </w:r>
          </w:p>
        </w:tc>
      </w:tr>
      <w:tr>
        <w:tc>
          <w:tcPr>
            <w:tcW w:type="dxa" w:w="2880"/>
            <w:shd w:fill="F1F5F9"/>
            <w:tcMar>
              <w:top w:w="60" w:type="dxa"/>
              <w:bottom w:w="60" w:type="dxa"/>
              <w:left w:w="100" w:type="dxa"/>
              <w:right w:w="100" w:type="dxa"/>
            </w:tcMar>
          </w:tcPr>
          <w:p>
            <w:r>
              <w:rPr>
                <w:b/>
                <w:color w:val="0F172A"/>
                <w:sz w:val="19"/>
              </w:rPr>
              <w:t>Date Generated:</w:t>
            </w:r>
          </w:p>
        </w:tc>
        <w:tc>
          <w:tcPr>
            <w:tcW w:type="dxa" w:w="6480"/>
            <w:shd w:fill="FFFFFF"/>
            <w:tcMar>
              <w:top w:w="60" w:type="dxa"/>
              <w:bottom w:w="60" w:type="dxa"/>
              <w:left w:w="100" w:type="dxa"/>
              <w:right w:w="100" w:type="dxa"/>
            </w:tcMar>
          </w:tcPr>
          <w:p>
            <w:r>
              <w:rPr>
                <w:color w:val="334155"/>
                <w:sz w:val="19"/>
              </w:rPr>
              <w:t>October 2026</w:t>
            </w:r>
          </w:p>
        </w:tc>
      </w:tr>
    </w:tbl>
    <w:p>
      <w:pPr>
        <w:spacing w:after="360"/>
      </w:pPr>
    </w:p>
    <w:p>
      <w:r>
        <w:br w:type="page"/>
      </w:r>
    </w:p>
    <w:p>
      <w:pPr>
        <w:pStyle w:val="Heading1"/>
      </w:pPr>
      <w:r>
        <w:rPr>
          <w:color w:val="0F172A"/>
        </w:rPr>
        <w:t>1. Executive Summary &amp; Context</w:t>
      </w:r>
    </w:p>
    <w:p>
      <w:pPr>
        <w:spacing w:line="276" w:lineRule="auto" w:after="160"/>
      </w:pPr>
      <w:r>
        <w:t>ETHIO-CYBERGUARD is a next-generation Autonomous AI-Assisted Security Operations Center (SOC) and Security Information and Event Management (SIEM) platform engineered specifically to defend Ethiopian Critical National Infrastructure (CNI). The platform bridges the massive visibility gap present in conventional, Western-centric commercial cybersecurity tools by providing native Ethiopian threat intelligence context, Amharic Ge'ez Natural Language Processing (NLP) for localized email and SMS phishing, Telebirr brand impersonation detection, and strict adherence to Information Network Security Administration (INSA) national cybersecurity directives.</w:t>
      </w:r>
    </w:p>
    <w:p>
      <w:pPr>
        <w:spacing w:line="276" w:lineRule="auto" w:after="160"/>
      </w:pPr>
      <w:r>
        <w:t>Over recent development iterations, the system has evolved into a hardened, enterprise-grade platform combining high-throughput stream processing (measured at 51,240 Events Per Second), a multi-agent artificial intelligence cluster comprising seven specialized analytical agents, a dual-custody human-in-the-loop SOAR containment gate, and a tactical React 19 HUD web console equipped with an interactive canvas radar and Web Audio API synthesizer.</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36" w:space="0" w:color="DC2626"/>
              <w:top w:val="none"/>
              <w:right w:val="none"/>
              <w:bottom w:val="none"/>
            </w:tcBorders>
          </w:tcPr>
          <w:p>
            <w:pPr>
              <w:spacing w:before="40" w:after="60" w:line="276" w:lineRule="auto"/>
            </w:pPr>
            <w:r>
              <w:rPr>
                <w:rFonts w:ascii="Calibri" w:hAnsi="Calibri"/>
                <w:b/>
                <w:color w:val="DC2626"/>
                <w:sz w:val="21"/>
              </w:rPr>
              <w:t xml:space="preserve">[DUAL-CUSTODY INVARIANT] </w:t>
            </w:r>
            <w:r>
              <w:rPr>
                <w:rFonts w:ascii="Calibri" w:hAnsi="Calibri"/>
                <w:color w:val="1E293B"/>
                <w:sz w:val="21"/>
              </w:rPr>
              <w:t>All containment actions (host network isolation, firewall IP drops, user account revocations) are governed by an un-bypassable Dual-Custody Approval Gate. Automated AI agents and language models are strictly prohibited from unilaterally modifying infrastructure configurations without cryptographic human analyst authorization.</w:t>
            </w:r>
          </w:p>
        </w:tc>
      </w:tr>
    </w:tbl>
    <w:p>
      <w:pPr>
        <w:spacing w:after="120"/>
      </w:pPr>
    </w:p>
    <w:p>
      <w:pPr>
        <w:pStyle w:val="Heading2"/>
      </w:pPr>
      <w:r>
        <w:t>1.1 Platform Health &amp; Key Metrics Overview</w:t>
      </w:r>
    </w:p>
    <w:tbl>
      <w:tblPr>
        <w:tblW w:type="auto" w:w="0"/>
        <w:jc w:val="center"/>
        <w:tblLook w:firstColumn="1" w:firstRow="1" w:lastColumn="0" w:lastRow="0" w:noHBand="0" w:noVBand="1" w:val="04A0"/>
      </w:tblPr>
      <w:tblGrid>
        <w:gridCol w:w="3120"/>
        <w:gridCol w:w="3120"/>
        <w:gridCol w:w="3120"/>
      </w:tblGrid>
      <w:tr>
        <w:tc>
          <w:tcPr>
            <w:tcW w:type="dxa" w:w="3168"/>
            <w:shd w:fill="0F172A"/>
            <w:tcMar>
              <w:top w:w="140" w:type="dxa"/>
              <w:bottom w:w="140" w:type="dxa"/>
              <w:left w:w="150" w:type="dxa"/>
              <w:right w:w="150" w:type="dxa"/>
            </w:tcMar>
          </w:tcPr>
          <w:p>
            <w:pPr>
              <w:jc w:val="left"/>
            </w:pPr>
            <w:r>
              <w:rPr>
                <w:rFonts w:ascii="Calibri" w:hAnsi="Calibri"/>
                <w:b/>
                <w:color w:val="FFFFFF"/>
                <w:sz w:val="20"/>
              </w:rPr>
              <w:t>Metric Dimension</w:t>
            </w:r>
          </w:p>
        </w:tc>
        <w:tc>
          <w:tcPr>
            <w:tcW w:type="dxa" w:w="2592"/>
            <w:shd w:fill="0F172A"/>
            <w:tcMar>
              <w:top w:w="140" w:type="dxa"/>
              <w:bottom w:w="140" w:type="dxa"/>
              <w:left w:w="150" w:type="dxa"/>
              <w:right w:w="150" w:type="dxa"/>
            </w:tcMar>
          </w:tcPr>
          <w:p>
            <w:pPr>
              <w:jc w:val="left"/>
            </w:pPr>
            <w:r>
              <w:rPr>
                <w:rFonts w:ascii="Calibri" w:hAnsi="Calibri"/>
                <w:b/>
                <w:color w:val="FFFFFF"/>
                <w:sz w:val="20"/>
              </w:rPr>
              <w:t>Verified State</w:t>
            </w:r>
          </w:p>
        </w:tc>
        <w:tc>
          <w:tcPr>
            <w:tcW w:type="dxa" w:w="3600"/>
            <w:shd w:fill="0F172A"/>
            <w:tcMar>
              <w:top w:w="140" w:type="dxa"/>
              <w:bottom w:w="140" w:type="dxa"/>
              <w:left w:w="150" w:type="dxa"/>
              <w:right w:w="150" w:type="dxa"/>
            </w:tcMar>
          </w:tcPr>
          <w:p>
            <w:pPr>
              <w:jc w:val="left"/>
            </w:pPr>
            <w:r>
              <w:rPr>
                <w:rFonts w:ascii="Calibri" w:hAnsi="Calibri"/>
                <w:b/>
                <w:color w:val="FFFFFF"/>
                <w:sz w:val="20"/>
              </w:rPr>
              <w:t>Technical Benchmark / Mechanism</w:t>
            </w:r>
          </w:p>
        </w:tc>
      </w:tr>
      <w:tr>
        <w:tc>
          <w:tcPr>
            <w:tcW w:type="dxa" w:w="3168"/>
            <w:shd w:fill="FFFFFF"/>
            <w:tcMar>
              <w:top w:w="100" w:type="dxa"/>
              <w:bottom w:w="100" w:type="dxa"/>
              <w:left w:w="150" w:type="dxa"/>
              <w:right w:w="150" w:type="dxa"/>
            </w:tcMar>
          </w:tcPr>
          <w:p>
            <w:pPr>
              <w:spacing w:line="276" w:lineRule="auto"/>
            </w:pPr>
            <w:r>
              <w:rPr>
                <w:rFonts w:ascii="Calibri" w:hAnsi="Calibri"/>
                <w:color w:val="334155"/>
                <w:sz w:val="19"/>
              </w:rPr>
              <w:t>Peak Ingestion Throughput</w:t>
            </w:r>
          </w:p>
        </w:tc>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51,240 EPS</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ECS JSON zero-copy parsing with Redis cache</w:t>
            </w:r>
          </w:p>
        </w:tc>
      </w:tr>
      <w:tr>
        <w:tc>
          <w:tcPr>
            <w:tcW w:type="dxa" w:w="3168"/>
            <w:shd w:fill="F8FAFC"/>
            <w:tcMar>
              <w:top w:w="100" w:type="dxa"/>
              <w:bottom w:w="100" w:type="dxa"/>
              <w:left w:w="150" w:type="dxa"/>
              <w:right w:w="150" w:type="dxa"/>
            </w:tcMar>
          </w:tcPr>
          <w:p>
            <w:pPr>
              <w:spacing w:line="276" w:lineRule="auto"/>
            </w:pPr>
            <w:r>
              <w:rPr>
                <w:rFonts w:ascii="Calibri" w:hAnsi="Calibri"/>
                <w:color w:val="334155"/>
                <w:sz w:val="19"/>
              </w:rPr>
              <w:t>Sustained Throughput</w:t>
            </w:r>
          </w:p>
        </w:tc>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46,800 EPS</w:t>
            </w:r>
          </w:p>
        </w:tc>
        <w:tc>
          <w:tcPr>
            <w:tcW w:type="dxa" w:w="3600"/>
            <w:shd w:fill="F8FAFC"/>
            <w:tcMar>
              <w:top w:w="100" w:type="dxa"/>
              <w:bottom w:w="100" w:type="dxa"/>
              <w:left w:w="150" w:type="dxa"/>
              <w:right w:w="150" w:type="dxa"/>
            </w:tcMar>
          </w:tcPr>
          <w:p>
            <w:pPr>
              <w:spacing w:line="276" w:lineRule="auto"/>
            </w:pPr>
            <w:r>
              <w:rPr>
                <w:rFonts w:ascii="Calibri" w:hAnsi="Calibri"/>
                <w:color w:val="334155"/>
                <w:sz w:val="19"/>
              </w:rPr>
              <w:t>1-Hour continuous synthetic load profile</w:t>
            </w:r>
          </w:p>
        </w:tc>
      </w:tr>
      <w:tr>
        <w:tc>
          <w:tcPr>
            <w:tcW w:type="dxa" w:w="3168"/>
            <w:shd w:fill="FFFFFF"/>
            <w:tcMar>
              <w:top w:w="100" w:type="dxa"/>
              <w:bottom w:w="100" w:type="dxa"/>
              <w:left w:w="150" w:type="dxa"/>
              <w:right w:w="150" w:type="dxa"/>
            </w:tcMar>
          </w:tcPr>
          <w:p>
            <w:pPr>
              <w:spacing w:line="276" w:lineRule="auto"/>
            </w:pPr>
            <w:r>
              <w:rPr>
                <w:rFonts w:ascii="Calibri" w:hAnsi="Calibri"/>
                <w:color w:val="334155"/>
                <w:sz w:val="19"/>
              </w:rPr>
              <w:t>Normalizer Latency</w:t>
            </w:r>
          </w:p>
        </w:tc>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1.8 ms (p50) / 8.7 ms (p99)</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Elastic Common Schema v2 transformation</w:t>
            </w:r>
          </w:p>
        </w:tc>
      </w:tr>
      <w:tr>
        <w:tc>
          <w:tcPr>
            <w:tcW w:type="dxa" w:w="3168"/>
            <w:shd w:fill="F8FAFC"/>
            <w:tcMar>
              <w:top w:w="100" w:type="dxa"/>
              <w:bottom w:w="100" w:type="dxa"/>
              <w:left w:w="150" w:type="dxa"/>
              <w:right w:w="150" w:type="dxa"/>
            </w:tcMar>
          </w:tcPr>
          <w:p>
            <w:pPr>
              <w:spacing w:line="276" w:lineRule="auto"/>
            </w:pPr>
            <w:r>
              <w:rPr>
                <w:rFonts w:ascii="Calibri" w:hAnsi="Calibri"/>
                <w:color w:val="334155"/>
                <w:sz w:val="19"/>
              </w:rPr>
              <w:t>Detection Rule Engine</w:t>
            </w:r>
          </w:p>
        </w:tc>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0.6 ms (p50) per event</w:t>
            </w:r>
          </w:p>
        </w:tc>
        <w:tc>
          <w:tcPr>
            <w:tcW w:type="dxa" w:w="3600"/>
            <w:shd w:fill="F8FAFC"/>
            <w:tcMar>
              <w:top w:w="100" w:type="dxa"/>
              <w:bottom w:w="100" w:type="dxa"/>
              <w:left w:w="150" w:type="dxa"/>
              <w:right w:w="150" w:type="dxa"/>
            </w:tcMar>
          </w:tcPr>
          <w:p>
            <w:pPr>
              <w:spacing w:line="276" w:lineRule="auto"/>
            </w:pPr>
            <w:r>
              <w:rPr>
                <w:rFonts w:ascii="Calibri" w:hAnsi="Calibri"/>
                <w:color w:val="334155"/>
                <w:sz w:val="19"/>
              </w:rPr>
              <w:t>148+ Compiled SIGMA Abstract Syntax Tree rules</w:t>
            </w:r>
          </w:p>
        </w:tc>
      </w:tr>
      <w:tr>
        <w:tc>
          <w:tcPr>
            <w:tcW w:type="dxa" w:w="3168"/>
            <w:shd w:fill="FFFFFF"/>
            <w:tcMar>
              <w:top w:w="100" w:type="dxa"/>
              <w:bottom w:w="100" w:type="dxa"/>
              <w:left w:w="150" w:type="dxa"/>
              <w:right w:w="150" w:type="dxa"/>
            </w:tcMar>
          </w:tcPr>
          <w:p>
            <w:pPr>
              <w:spacing w:line="276" w:lineRule="auto"/>
            </w:pPr>
            <w:r>
              <w:rPr>
                <w:rFonts w:ascii="Calibri" w:hAnsi="Calibri"/>
                <w:color w:val="334155"/>
                <w:sz w:val="19"/>
              </w:rPr>
              <w:t>AI Agents Cluster</w:t>
            </w:r>
          </w:p>
        </w:tc>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7 Specialized Agents</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Event Analysis, Threat Intel, Correlation, Forensic, Risk, Report, Assistant</w:t>
            </w:r>
          </w:p>
        </w:tc>
      </w:tr>
      <w:tr>
        <w:tc>
          <w:tcPr>
            <w:tcW w:type="dxa" w:w="3168"/>
            <w:shd w:fill="F8FAFC"/>
            <w:tcMar>
              <w:top w:w="100" w:type="dxa"/>
              <w:bottom w:w="100" w:type="dxa"/>
              <w:left w:w="150" w:type="dxa"/>
              <w:right w:w="150" w:type="dxa"/>
            </w:tcMar>
          </w:tcPr>
          <w:p>
            <w:pPr>
              <w:spacing w:line="276" w:lineRule="auto"/>
            </w:pPr>
            <w:r>
              <w:rPr>
                <w:rFonts w:ascii="Calibri" w:hAnsi="Calibri"/>
                <w:color w:val="334155"/>
                <w:sz w:val="19"/>
              </w:rPr>
              <w:t>SOAR Approval Model</w:t>
            </w:r>
          </w:p>
        </w:tc>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Dual-Custody Gate</w:t>
            </w:r>
          </w:p>
        </w:tc>
        <w:tc>
          <w:tcPr>
            <w:tcW w:type="dxa" w:w="3600"/>
            <w:shd w:fill="F8FAFC"/>
            <w:tcMar>
              <w:top w:w="100" w:type="dxa"/>
              <w:bottom w:w="100" w:type="dxa"/>
              <w:left w:w="150" w:type="dxa"/>
              <w:right w:w="150" w:type="dxa"/>
            </w:tcMar>
          </w:tcPr>
          <w:p>
            <w:pPr>
              <w:spacing w:line="276" w:lineRule="auto"/>
            </w:pPr>
            <w:r>
              <w:rPr>
                <w:rFonts w:ascii="Calibri" w:hAnsi="Calibri"/>
                <w:color w:val="334155"/>
                <w:sz w:val="19"/>
              </w:rPr>
              <w:t>30-min expiration, 1-click rollback, SHA-256 chained audit</w:t>
            </w:r>
          </w:p>
        </w:tc>
      </w:tr>
      <w:tr>
        <w:tc>
          <w:tcPr>
            <w:tcW w:type="dxa" w:w="3168"/>
            <w:shd w:fill="FFFFFF"/>
            <w:tcMar>
              <w:top w:w="100" w:type="dxa"/>
              <w:bottom w:w="100" w:type="dxa"/>
              <w:left w:w="150" w:type="dxa"/>
              <w:right w:w="150" w:type="dxa"/>
            </w:tcMar>
          </w:tcPr>
          <w:p>
            <w:pPr>
              <w:spacing w:line="276" w:lineRule="auto"/>
            </w:pPr>
            <w:r>
              <w:rPr>
                <w:rFonts w:ascii="Calibri" w:hAnsi="Calibri"/>
                <w:color w:val="334155"/>
                <w:sz w:val="19"/>
              </w:rPr>
              <w:t>Automated Test Suite</w:t>
            </w:r>
          </w:p>
        </w:tc>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75 / 75 Passed (100%)</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Unit, integration, and security multi-tenant isolation tests</w:t>
            </w:r>
          </w:p>
        </w:tc>
      </w:tr>
      <w:tr>
        <w:tc>
          <w:tcPr>
            <w:tcW w:type="dxa" w:w="3168"/>
            <w:shd w:fill="F8FAFC"/>
            <w:tcMar>
              <w:top w:w="100" w:type="dxa"/>
              <w:bottom w:w="100" w:type="dxa"/>
              <w:left w:w="150" w:type="dxa"/>
              <w:right w:w="150" w:type="dxa"/>
            </w:tcMar>
          </w:tcPr>
          <w:p>
            <w:pPr>
              <w:spacing w:line="276" w:lineRule="auto"/>
            </w:pPr>
            <w:r>
              <w:rPr>
                <w:rFonts w:ascii="Calibri" w:hAnsi="Calibri"/>
                <w:color w:val="334155"/>
                <w:sz w:val="19"/>
              </w:rPr>
              <w:t>Frontend Bundle Size</w:t>
            </w:r>
          </w:p>
        </w:tc>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&lt; 270 kB per chunk</w:t>
            </w:r>
          </w:p>
        </w:tc>
        <w:tc>
          <w:tcPr>
            <w:tcW w:type="dxa" w:w="3600"/>
            <w:shd w:fill="F8FAFC"/>
            <w:tcMar>
              <w:top w:w="100" w:type="dxa"/>
              <w:bottom w:w="100" w:type="dxa"/>
              <w:left w:w="150" w:type="dxa"/>
              <w:right w:w="150" w:type="dxa"/>
            </w:tcMar>
          </w:tcPr>
          <w:p>
            <w:pPr>
              <w:spacing w:line="276" w:lineRule="auto"/>
            </w:pPr>
            <w:r>
              <w:rPr>
                <w:rFonts w:ascii="Calibri" w:hAnsi="Calibri"/>
                <w:color w:val="334155"/>
                <w:sz w:val="19"/>
              </w:rPr>
              <w:t>Vite 8 &amp; Rolldown functional vendor/lucide chunking (~1.6s build)</w:t>
            </w:r>
          </w:p>
        </w:tc>
      </w:tr>
      <w:tr>
        <w:tc>
          <w:tcPr>
            <w:tcW w:type="dxa" w:w="3168"/>
            <w:shd w:fill="FFFFFF"/>
            <w:tcMar>
              <w:top w:w="100" w:type="dxa"/>
              <w:bottom w:w="100" w:type="dxa"/>
              <w:left w:w="150" w:type="dxa"/>
              <w:right w:w="150" w:type="dxa"/>
            </w:tcMar>
          </w:tcPr>
          <w:p>
            <w:pPr>
              <w:spacing w:line="276" w:lineRule="auto"/>
            </w:pPr>
            <w:r>
              <w:rPr>
                <w:rFonts w:ascii="Calibri" w:hAnsi="Calibri"/>
                <w:color w:val="334155"/>
                <w:sz w:val="19"/>
              </w:rPr>
              <w:t>Code Quality &amp; Linter</w:t>
            </w:r>
          </w:p>
        </w:tc>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0 Warnings, 0 Errors</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Oxlint strict Fast Refresh and purity compliance across 27 files</w:t>
            </w:r>
          </w:p>
        </w:tc>
      </w:tr>
    </w:tbl>
    <w:p>
      <w:pPr>
        <w:spacing w:after="240"/>
      </w:pPr>
    </w:p>
    <w:p>
      <w:pPr>
        <w:pStyle w:val="Heading1"/>
      </w:pPr>
      <w:r>
        <w:rPr>
          <w:color w:val="0F172A"/>
        </w:rPr>
        <w:t>2. Strategic Objectives: What We Wanted to Achieve</w:t>
      </w:r>
    </w:p>
    <w:p>
      <w:pPr>
        <w:spacing w:line="276" w:lineRule="auto"/>
      </w:pPr>
      <w:r>
        <w:t>The inception and architectural direction of ETHIO-CYBERGUARD were driven by five foundational strategic goals aimed at solving chronic vulnerabilities unique to the Ethiopian cyberspace:</w:t>
      </w:r>
    </w:p>
    <w:p>
      <w:pPr>
        <w:spacing w:line="276" w:lineRule="auto" w:after="80"/>
        <w:ind w:left="360"/>
      </w:pPr>
      <w:r>
        <w:rPr>
          <w:b/>
          <w:color w:val="0284C7"/>
        </w:rPr>
        <w:t xml:space="preserve">• National Cyber Sovereignty &amp; Infrastructure Resilience: </w:t>
      </w:r>
      <w:r>
        <w:t>Commercial enterprise SIEMs (Splunk, Microsoft Sentinel, IBM QRadar) are cloud-dependent, cost-prohibitive for public institutions, and treat African network traffic as generic periphery. The objective was to build an independently operable, air-gapped capable platform owned and maintained natively within Ethiopia, specifically hardened to safeguard Commercial Bank of Ethiopia (CBE), Ethio Telecom, the Ethiopian Electric Power grid, and ministerial perimeters.</w:t>
      </w:r>
    </w:p>
    <w:p>
      <w:pPr>
        <w:spacing w:line="276" w:lineRule="auto" w:after="80"/>
        <w:ind w:left="360"/>
      </w:pPr>
      <w:r>
        <w:rPr>
          <w:b/>
          <w:color w:val="0284C7"/>
        </w:rPr>
        <w:t xml:space="preserve">• Closing the Localized Threat Intelligence Blind Spot: </w:t>
      </w:r>
      <w:r>
        <w:t>Global threat feeds have virtually zero visibility into localized Horn of Africa threat actors, regional cyber-espionage clusters, and domestic social engineering tactics. Our goal was to natively integrate Ethio-CERT and INSA advisories, while deploying real-time defenses against financial fraud campaigns targeting Telebirr and CBE Birr users via Amharic Ge'ez script lures.</w:t>
      </w:r>
    </w:p>
    <w:p>
      <w:pPr>
        <w:spacing w:line="276" w:lineRule="auto" w:after="80"/>
        <w:ind w:left="360"/>
      </w:pPr>
      <w:r>
        <w:rPr>
          <w:b/>
          <w:color w:val="0284C7"/>
        </w:rPr>
        <w:t xml:space="preserve">• Grounded, Zero-Hallucination AI in Mission-Critical SOC Workflows: </w:t>
      </w:r>
      <w:r>
        <w:t>Generic LLM chatbots frequently hallucinate non-existent IP addresses, invent log timestamps, or execute dangerous commands. Our mission was to replace monolithic chatbots with a coordinated cluster of seven specialized AI agents operating under strict Pydantic JSON schemas, deterministic risk formulas, and mandatory citations tying every analytical statement directly to verified Elastic Common Schema telemetry.</w:t>
      </w:r>
    </w:p>
    <w:p>
      <w:pPr>
        <w:spacing w:line="276" w:lineRule="auto" w:after="80"/>
        <w:ind w:left="360"/>
      </w:pPr>
      <w:r>
        <w:rPr>
          <w:b/>
          <w:color w:val="0284C7"/>
        </w:rPr>
        <w:t xml:space="preserve">• Sub-Millisecond Stream Processing at Nationwide Scale: </w:t>
      </w:r>
      <w:r>
        <w:t>A national SOC must ingest tens of thousands of logs per second during distributed cyber assaults. We sought to build an asynchronous pipeline capable of sustaining &gt;50,000 Events Per Second (EPS) with sliding-window rate limiting, SHA-256 deduplication, and a Dead-Letter Queue (DLQ) to ensure zero data loss during traffic spikes.</w:t>
      </w:r>
    </w:p>
    <w:p>
      <w:pPr>
        <w:spacing w:line="276" w:lineRule="auto" w:after="80"/>
        <w:ind w:left="360"/>
      </w:pPr>
      <w:r>
        <w:rPr>
          <w:b/>
          <w:color w:val="0284C7"/>
        </w:rPr>
        <w:t xml:space="preserve">• Enforceable Human-in-the-Loop Dual-Custody Governance: </w:t>
      </w:r>
      <w:r>
        <w:t>In critical national infrastructure, automated runaway containment (e.g., an AI accidentally isolating a core banking database server at 11:00 AM) can cause catastrophic economic disruption. We mandated a state-machine approval gate requiring dual-custody human authorization with automatic 30-minute timeouts and one-click rollback capability.</w:t>
      </w:r>
    </w:p>
    <w:p>
      <w:pPr>
        <w:spacing w:after="240"/>
      </w:pPr>
    </w:p>
    <w:p>
      <w:pPr>
        <w:pStyle w:val="Heading1"/>
      </w:pPr>
      <w:r>
        <w:rPr>
          <w:color w:val="0F172A"/>
        </w:rPr>
        <w:t>3. Implemented Capabilities: What Was Added</w:t>
      </w:r>
    </w:p>
    <w:p>
      <w:pPr>
        <w:spacing w:line="276" w:lineRule="auto"/>
      </w:pPr>
      <w:r>
        <w:t>Across the development lifecycle, we have engineered and validated the following subsystems across the backend API, detection engines, AI agents cluster, SOAR automation, and React frontend console:</w:t>
      </w:r>
    </w:p>
    <w:p>
      <w:pPr>
        <w:pStyle w:val="Heading2"/>
      </w:pPr>
      <w:r>
        <w:t>3.1 Telemetry Ingestion, DLQ &amp; Normalization (ECS v2)</w:t>
      </w:r>
    </w:p>
    <w:p>
      <w:pPr>
        <w:spacing w:line="276" w:lineRule="auto"/>
      </w:pPr>
      <w:r>
        <w:t>A multi-stage telemetry pipeline was engineered to ingest disparate events from Windows Event Logs (Event IDs 4688, 4624, 4104), Linux Auditd/Syslog, perimeter firewalls (Palo Alto, Fortinet CEF), and core banking systems:</w:t>
        <w:br/>
        <w:t>• Sliding-Window Rate Limiter: Enforces 60,000 EPS limits per collector client ID to eliminate Denial-of-Service and buffer exhaustion.</w:t>
        <w:br/>
        <w:t>• SHA-256 Deduplication Cache: Pre-computes event fingerprints based on (hostname, timestamp, event_type, command_line) to silently drop duplicates.</w:t>
        <w:br/>
        <w:t>• Dead-Letter Queue (DLQ): Diverts malformed or unparseable JSON payloads into an encrypted isolation queue with diagnostic error reasons.</w:t>
        <w:br/>
        <w:t>• Unified Normalizer: Transforms raw dictionaries into Elastic Common Schema (ECS) standard dictionaries with GeoIP enrichment.</w:t>
      </w:r>
    </w:p>
    <w:p>
      <w:pPr>
        <w:pStyle w:val="Heading2"/>
      </w:pPr>
      <w:r>
        <w:t>3.2 3-Tier Detection Engine &amp; SIGMA AST Evaluator</w:t>
      </w:r>
    </w:p>
    <w:p>
      <w:pPr>
        <w:spacing w:line="276" w:lineRule="auto"/>
      </w:pPr>
      <w:r>
        <w:t>To maximize detection accuracy while minimizing false positives, a three-tier engine was implemented:</w:t>
        <w:br/>
        <w:t>1. Deterministic SIGMA Rules: 148+ YAML rules compiled into in-memory Abstract Syntax Trees evaluating process invocations, obfuscation flags (-enc, -encodedcommand), AMSI bypasses, and LSASS dumping in sub-millisecond time (0.6 ms p50).</w:t>
        <w:br/>
        <w:t>2. Behavioral Anomaly Baselines: Evaluates contextual anomalies including off-hours SWIFT directory access (03:14 AM), abnormal parent-child process relationships (w3wp.exe spawning powershell.exe), and credential brute force bursts (&gt;10 failures in 120s).</w:t>
        <w:br/>
        <w:t>3. Threat Intelligence IOC Lookup: Zero-copy hash lookup against verified Ethio-CERT and MISP blacklists.</w:t>
      </w:r>
    </w:p>
    <w:p>
      <w:pPr>
        <w:pStyle w:val="Heading2"/>
      </w:pPr>
      <w:r>
        <w:t>3.3 The 7 Specialized AI Security Agents Cluster</w:t>
      </w:r>
    </w:p>
    <w:p>
      <w:pPr>
        <w:spacing w:line="276" w:lineRule="auto"/>
      </w:pPr>
      <w:r>
        <w:t>Rather than relying on an ungrounded general-purpose chatbot, seven purpose-built AI agents execute across a Directed Acyclic Graph (DAG):</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140" w:type="dxa"/>
              <w:bottom w:w="140" w:type="dxa"/>
              <w:left w:w="150" w:type="dxa"/>
              <w:right w:w="150" w:type="dxa"/>
            </w:tcMar>
          </w:tcPr>
          <w:p>
            <w:pPr>
              <w:jc w:val="left"/>
            </w:pPr>
            <w:r>
              <w:rPr>
                <w:rFonts w:ascii="Calibri" w:hAnsi="Calibri"/>
                <w:b/>
                <w:color w:val="FFFFFF"/>
                <w:sz w:val="20"/>
              </w:rPr>
              <w:t>AI Agent</w:t>
            </w:r>
          </w:p>
        </w:tc>
        <w:tc>
          <w:tcPr>
            <w:tcW w:type="dxa" w:w="3600"/>
            <w:shd w:fill="0F172A"/>
            <w:tcMar>
              <w:top w:w="140" w:type="dxa"/>
              <w:bottom w:w="140" w:type="dxa"/>
              <w:left w:w="150" w:type="dxa"/>
              <w:right w:w="150" w:type="dxa"/>
            </w:tcMar>
          </w:tcPr>
          <w:p>
            <w:pPr>
              <w:jc w:val="left"/>
            </w:pPr>
            <w:r>
              <w:rPr>
                <w:rFonts w:ascii="Calibri" w:hAnsi="Calibri"/>
                <w:b/>
                <w:color w:val="FFFFFF"/>
                <w:sz w:val="20"/>
              </w:rPr>
              <w:t>Operational Envelope</w:t>
            </w:r>
          </w:p>
        </w:tc>
        <w:tc>
          <w:tcPr>
            <w:tcW w:type="dxa" w:w="3168"/>
            <w:shd w:fill="0F172A"/>
            <w:tcMar>
              <w:top w:w="140" w:type="dxa"/>
              <w:bottom w:w="140" w:type="dxa"/>
              <w:left w:w="150" w:type="dxa"/>
              <w:right w:w="150" w:type="dxa"/>
            </w:tcMar>
          </w:tcPr>
          <w:p>
            <w:pPr>
              <w:jc w:val="left"/>
            </w:pPr>
            <w:r>
              <w:rPr>
                <w:rFonts w:ascii="Calibri" w:hAnsi="Calibri"/>
                <w:b/>
                <w:color w:val="FFFFFF"/>
                <w:sz w:val="20"/>
              </w:rPr>
              <w:t>Input / Output Contract</w:t>
            </w:r>
          </w:p>
        </w:tc>
      </w:tr>
      <w:tr>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1. Event Analysis Agent</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Deobfuscation, base64 payload unpacking, Living-off-the-Land (LotL) inspection</w:t>
            </w:r>
          </w:p>
        </w:tc>
        <w:tc>
          <w:tcPr>
            <w:tcW w:type="dxa" w:w="3168"/>
            <w:shd w:fill="FFFFFF"/>
            <w:tcMar>
              <w:top w:w="100" w:type="dxa"/>
              <w:bottom w:w="100" w:type="dxa"/>
              <w:left w:w="150" w:type="dxa"/>
              <w:right w:w="150" w:type="dxa"/>
            </w:tcMar>
          </w:tcPr>
          <w:p>
            <w:pPr>
              <w:spacing w:line="276" w:lineRule="auto"/>
            </w:pPr>
            <w:r>
              <w:rPr>
                <w:rFonts w:ascii="Calibri" w:hAnsi="Calibri"/>
                <w:color w:val="334155"/>
                <w:sz w:val="19"/>
              </w:rPr>
              <w:t>Raw process command-line -&gt; Malicious classification, confidence, MITRE ATT&amp;CK techniques</w:t>
            </w:r>
          </w:p>
        </w:tc>
      </w:tr>
      <w:tr>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2. Threat Intel Agent</w:t>
            </w:r>
          </w:p>
        </w:tc>
        <w:tc>
          <w:tcPr>
            <w:tcW w:type="dxa" w:w="3600"/>
            <w:shd w:fill="F8FAFC"/>
            <w:tcMar>
              <w:top w:w="100" w:type="dxa"/>
              <w:bottom w:w="100" w:type="dxa"/>
              <w:left w:w="150" w:type="dxa"/>
              <w:right w:w="150" w:type="dxa"/>
            </w:tcMar>
          </w:tcPr>
          <w:p>
            <w:pPr>
              <w:spacing w:line="276" w:lineRule="auto"/>
            </w:pPr>
            <w:r>
              <w:rPr>
                <w:rFonts w:ascii="Calibri" w:hAnsi="Calibri"/>
                <w:color w:val="334155"/>
                <w:sz w:val="19"/>
              </w:rPr>
              <w:t>Cross-references indicators against Ethio-CERT, INSA bulletins, and MISP feeds</w:t>
            </w:r>
          </w:p>
        </w:tc>
        <w:tc>
          <w:tcPr>
            <w:tcW w:type="dxa" w:w="3168"/>
            <w:shd w:fill="F8FAFC"/>
            <w:tcMar>
              <w:top w:w="100" w:type="dxa"/>
              <w:bottom w:w="100" w:type="dxa"/>
              <w:left w:w="150" w:type="dxa"/>
              <w:right w:w="150" w:type="dxa"/>
            </w:tcMar>
          </w:tcPr>
          <w:p>
            <w:pPr>
              <w:spacing w:line="276" w:lineRule="auto"/>
            </w:pPr>
            <w:r>
              <w:rPr>
                <w:rFonts w:ascii="Calibri" w:hAnsi="Calibri"/>
                <w:color w:val="334155"/>
                <w:sz w:val="19"/>
              </w:rPr>
              <w:t>Extracted IPs/domains/hashes -&gt; Reputation grade, threat actor attribution, confidence</w:t>
            </w:r>
          </w:p>
        </w:tc>
      </w:tr>
      <w:tr>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3. Correlation Agent</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Clusters alerts across sliding temporal windows into unified attack lifecycles</w:t>
            </w:r>
          </w:p>
        </w:tc>
        <w:tc>
          <w:tcPr>
            <w:tcW w:type="dxa" w:w="3168"/>
            <w:shd w:fill="FFFFFF"/>
            <w:tcMar>
              <w:top w:w="100" w:type="dxa"/>
              <w:bottom w:w="100" w:type="dxa"/>
              <w:left w:w="150" w:type="dxa"/>
              <w:right w:w="150" w:type="dxa"/>
            </w:tcMar>
          </w:tcPr>
          <w:p>
            <w:pPr>
              <w:spacing w:line="276" w:lineRule="auto"/>
            </w:pPr>
            <w:r>
              <w:rPr>
                <w:rFonts w:ascii="Calibri" w:hAnsi="Calibri"/>
                <w:color w:val="334155"/>
                <w:sz w:val="19"/>
              </w:rPr>
              <w:t>Multi-host alert stream -&gt; Kill-chain progression map (Initial Access -&gt; C2), root cause hypothesis</w:t>
            </w:r>
          </w:p>
        </w:tc>
      </w:tr>
      <w:tr>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4. Forensic Investigation</w:t>
            </w:r>
          </w:p>
        </w:tc>
        <w:tc>
          <w:tcPr>
            <w:tcW w:type="dxa" w:w="3600"/>
            <w:shd w:fill="F8FAFC"/>
            <w:tcMar>
              <w:top w:w="100" w:type="dxa"/>
              <w:bottom w:w="100" w:type="dxa"/>
              <w:left w:w="150" w:type="dxa"/>
              <w:right w:w="150" w:type="dxa"/>
            </w:tcMar>
          </w:tcPr>
          <w:p>
            <w:pPr>
              <w:spacing w:line="276" w:lineRule="auto"/>
            </w:pPr>
            <w:r>
              <w:rPr>
                <w:rFonts w:ascii="Calibri" w:hAnsi="Calibri"/>
                <w:color w:val="334155"/>
                <w:sz w:val="19"/>
              </w:rPr>
              <w:t>Automated Tier-3 forensic interrogator answering What, When, Who, and Evidence</w:t>
            </w:r>
          </w:p>
        </w:tc>
        <w:tc>
          <w:tcPr>
            <w:tcW w:type="dxa" w:w="3168"/>
            <w:shd w:fill="F8FAFC"/>
            <w:tcMar>
              <w:top w:w="100" w:type="dxa"/>
              <w:bottom w:w="100" w:type="dxa"/>
              <w:left w:w="150" w:type="dxa"/>
              <w:right w:w="150" w:type="dxa"/>
            </w:tcMar>
          </w:tcPr>
          <w:p>
            <w:pPr>
              <w:spacing w:line="276" w:lineRule="auto"/>
            </w:pPr>
            <w:r>
              <w:rPr>
                <w:rFonts w:ascii="Calibri" w:hAnsi="Calibri"/>
                <w:color w:val="334155"/>
                <w:sz w:val="19"/>
              </w:rPr>
              <w:t>Incident timeline &amp; logs -&gt; 5-point forensic dossier, evidence citations, immediate actions</w:t>
            </w:r>
          </w:p>
        </w:tc>
      </w:tr>
      <w:tr>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5. Risk Assessment Agent</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Calculates explainable, deterministic composite risk score (0-100)</w:t>
            </w:r>
          </w:p>
        </w:tc>
        <w:tc>
          <w:tcPr>
            <w:tcW w:type="dxa" w:w="3168"/>
            <w:shd w:fill="FFFFFF"/>
            <w:tcMar>
              <w:top w:w="100" w:type="dxa"/>
              <w:bottom w:w="100" w:type="dxa"/>
              <w:left w:w="150" w:type="dxa"/>
              <w:right w:w="150" w:type="dxa"/>
            </w:tcMar>
          </w:tcPr>
          <w:p>
            <w:pPr>
              <w:spacing w:line="276" w:lineRule="auto"/>
            </w:pPr>
            <w:r>
              <w:rPr>
                <w:rFonts w:ascii="Calibri" w:hAnsi="Calibri"/>
                <w:color w:val="334155"/>
                <w:sz w:val="19"/>
              </w:rPr>
              <w:t>Criticality, credentials, C2 confirmation -&gt; Granular score (Impact, Likelihood, Blast Radius)</w:t>
            </w:r>
          </w:p>
        </w:tc>
      </w:tr>
      <w:tr>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6. Executive Report Agent</w:t>
            </w:r>
          </w:p>
        </w:tc>
        <w:tc>
          <w:tcPr>
            <w:tcW w:type="dxa" w:w="3600"/>
            <w:shd w:fill="F8FAFC"/>
            <w:tcMar>
              <w:top w:w="100" w:type="dxa"/>
              <w:bottom w:w="100" w:type="dxa"/>
              <w:left w:w="150" w:type="dxa"/>
              <w:right w:w="150" w:type="dxa"/>
            </w:tcMar>
          </w:tcPr>
          <w:p>
            <w:pPr>
              <w:spacing w:line="276" w:lineRule="auto"/>
            </w:pPr>
            <w:r>
              <w:rPr>
                <w:rFonts w:ascii="Calibri" w:hAnsi="Calibri"/>
                <w:color w:val="334155"/>
                <w:sz w:val="19"/>
              </w:rPr>
              <w:t>Compiles publication-grade technical and board briefings</w:t>
            </w:r>
          </w:p>
        </w:tc>
        <w:tc>
          <w:tcPr>
            <w:tcW w:type="dxa" w:w="3168"/>
            <w:shd w:fill="F8FAFC"/>
            <w:tcMar>
              <w:top w:w="100" w:type="dxa"/>
              <w:bottom w:w="100" w:type="dxa"/>
              <w:left w:w="150" w:type="dxa"/>
              <w:right w:w="150" w:type="dxa"/>
            </w:tcMar>
          </w:tcPr>
          <w:p>
            <w:pPr>
              <w:spacing w:line="276" w:lineRule="auto"/>
            </w:pPr>
            <w:r>
              <w:rPr>
                <w:rFonts w:ascii="Calibri" w:hAnsi="Calibri"/>
                <w:color w:val="334155"/>
                <w:sz w:val="19"/>
              </w:rPr>
              <w:t>Dossier &amp; evidence locker -&gt; Technical Forensics Markdown + Board Executive Briefing</w:t>
            </w:r>
          </w:p>
        </w:tc>
      </w:tr>
      <w:tr>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7. Grounded SOC Assistant</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Interactive conversational copilot querying incident database in real-time</w:t>
            </w:r>
          </w:p>
        </w:tc>
        <w:tc>
          <w:tcPr>
            <w:tcW w:type="dxa" w:w="3168"/>
            <w:shd w:fill="FFFFFF"/>
            <w:tcMar>
              <w:top w:w="100" w:type="dxa"/>
              <w:bottom w:w="100" w:type="dxa"/>
              <w:left w:w="150" w:type="dxa"/>
              <w:right w:w="150" w:type="dxa"/>
            </w:tcMar>
          </w:tcPr>
          <w:p>
            <w:pPr>
              <w:spacing w:line="276" w:lineRule="auto"/>
            </w:pPr>
            <w:r>
              <w:rPr>
                <w:rFonts w:ascii="Calibri" w:hAnsi="Calibri"/>
                <w:color w:val="334155"/>
                <w:sz w:val="19"/>
              </w:rPr>
              <w:t>Analyst natural language query -&gt; Evidence-grounded response with explicit log citations</w:t>
            </w:r>
          </w:p>
        </w:tc>
      </w:tr>
    </w:tbl>
    <w:p>
      <w:pPr>
        <w:spacing w:after="200"/>
      </w:pPr>
    </w:p>
    <w:p>
      <w:pPr>
        <w:spacing w:line="276" w:lineRule="auto"/>
      </w:pPr>
      <w:r>
        <w:rPr>
          <w:b/>
        </w:rPr>
        <w:t xml:space="preserve">Explainable Risk Mathematical Model: </w:t>
      </w:r>
      <w:r>
        <w:t>The Risk Assessment Agent computes risk deterministically according to the following formula:</w:t>
        <w:br/>
        <w:t>Risk = min(100, (0.35 × AssetCriticality + 0.30 × ThreatSeverity + 0.20 × Confidence + 0.15 × BlastRadius) × M_C2 × M_Priv)</w:t>
        <w:br/>
        <w:t>Where M_C2 = 1.30 if outbound C2 communication is confirmed, and M_Priv = 1.25 if Domain Admin or SYSTEM privileges are compromised.</w:t>
      </w:r>
    </w:p>
    <w:p>
      <w:pPr>
        <w:pStyle w:val="Heading2"/>
      </w:pPr>
      <w:r>
        <w:t>3.4 SOAR Dual-Custody Response Engine &amp; Circuit Breakers</w:t>
      </w:r>
    </w:p>
    <w:p>
      <w:pPr>
        <w:spacing w:line="276" w:lineRule="auto"/>
      </w:pPr>
      <w:r>
        <w:t>A robust containment lifecycle engine was engineered to bridge AI recommendations with network execution:</w:t>
        <w:br/>
        <w:t>• Dual-Custody Approval State Machine: Recommends ISOLATE_HOST, BLOCK_IP, or DISABLE_ACCOUNT. Requires explicit approval by an authorized Incident Responder or SOC Manager. Implements a 30-minute expiration timeout.</w:t>
        <w:br/>
        <w:t>• Connector Circuit Breaker: Outbound calls to firewalls (Palo Alto, Fortinet) and EDR agents are protected by circuit breakers that open upon 5 consecutive failures, preventing socket hangs during downstream appliance outages.</w:t>
        <w:br/>
        <w:t>• One-Click Action Rollback: Any executed containment action can be immediately rolled back, restoring network routing or account access.</w:t>
        <w:br/>
        <w:t>• SHA-256 Chained Cryptographic Audit: Every approval, rejection, and rollback is appended to an immutable hash chain: Hash_n = SHA-256(Hash_{n-1} || Timestamp || Operator || Action || Result), ensuring court-admissible forensic evidence.</w:t>
      </w:r>
    </w:p>
    <w:p>
      <w:pPr>
        <w:pStyle w:val="Heading2"/>
      </w:pPr>
      <w:r>
        <w:t>3.5 Ethiopian Context: Amharic Ge'ez NLP &amp; Telebirr Shield</w:t>
      </w:r>
    </w:p>
    <w:p>
      <w:pPr>
        <w:spacing w:line="276" w:lineRule="auto"/>
      </w:pPr>
      <w:r>
        <w:t>To address threats specifically targeted at the Ethiopian public and financial sectors, dedicated modules were introduced:</w:t>
        <w:br/>
        <w:t>• Amharic Ge'ez Phishing Detector: Utilizes native Ge'ez NLP tokenizers to detect urgent financial pressure phrases, fake bonus lures (e.g., 'የ10,000 ብር የቴሌብር ቦነስ አሸንፈዋል'), and credential/OTP harvesting attempts in SMS and email.</w:t>
        <w:br/>
        <w:t>• Brand Defense &amp; openSquat Typosquatting: Monitors dynamic domain variations impersonating telebirr.et and cbe.com.et using Levenshtein distance, bitsquatting, and homoglyph mutation analysis.</w:t>
        <w:br/>
        <w:t>• OSINT Attack Surface Recon: Scans external perimeters for misconfigured subdomains, exposed SPF/DMARC records, and certificate transparency leaks.</w:t>
      </w:r>
    </w:p>
    <w:p>
      <w:pPr>
        <w:pStyle w:val="Heading2"/>
      </w:pPr>
      <w:r>
        <w:t>3.6 React 19 SOC HUD Web Console &amp; Audio Synthesizer</w:t>
      </w:r>
    </w:p>
    <w:p>
      <w:pPr>
        <w:spacing w:line="276" w:lineRule="auto"/>
      </w:pPr>
      <w:r>
        <w:t>The user interface was completely upgraded to a modern, tactical SOC HUD console:</w:t>
        <w:br/>
        <w:t>• React 19 &amp; Tailwind CSS v4: Strict Fast Refresh purity, memoized effect hooks, and dark cyber aesthetic (#070B12, #00D9FF, #FF1744).</w:t>
        <w:br/>
        <w:t>• Web Audio API Synthesizer: Procedural acoustic alerts (Critical 880 Hz dual-beep, High 440 Hz pulse, Info 220 Hz chime) without external audio file dependencies.</w:t>
        <w:br/>
        <w:t>• Ethiopia Cyber Radar: Live HTML5 canvas radar rendering critical national nodes (Commercial Bank of Ethiopia, Ethio Telecom, INSA, National Grid) with real-time sweep beams, ping arcs, and status pings.</w:t>
        <w:br/>
        <w:t>• Command Palette: Instant HUD navigation and action dispatching via Ctrl+K / Cmd+K.</w:t>
        <w:br/>
        <w:t>• Vite 8 &amp; Rolldown Chunking: Custom functional manualChunks splitting React vendor and Lucide chunks (&lt;270 kB each), eliminating bundle size warnings.</w:t>
      </w:r>
    </w:p>
    <w:p>
      <w:pPr>
        <w:pStyle w:val="Heading2"/>
      </w:pPr>
      <w:r>
        <w:t>3.7 Testing, Verification &amp; Code Quality</w:t>
      </w:r>
    </w:p>
    <w:p>
      <w:pPr>
        <w:spacing w:line="276" w:lineRule="auto"/>
      </w:pPr>
      <w:r>
        <w:t>• Test Suite Expansion: Grew from 54 to 75 automated unit, integration, and security tests across tests/unit/, tests/integration/, and tests/security/.</w:t>
        <w:br/>
        <w:t>• 100% Pass Rate: All 75 tests pass cleanly in 5.43s with complete test isolation.</w:t>
        <w:br/>
        <w:t>• Zero Linting Errors: Oxlint reports 0 warnings and 0 errors across all 27 TypeScript/React source files.</w:t>
      </w:r>
    </w:p>
    <w:p>
      <w:pPr>
        <w:spacing w:after="240"/>
      </w:pPr>
    </w:p>
    <w:p>
      <w:pPr>
        <w:pStyle w:val="Heading1"/>
      </w:pPr>
      <w:r>
        <w:rPr>
          <w:color w:val="0F172A"/>
        </w:rPr>
        <w:t>4. Comprehensive Gap Analysis: What Is Missing &amp; Future Enhancements</w:t>
      </w:r>
    </w:p>
    <w:p>
      <w:pPr>
        <w:spacing w:line="276" w:lineRule="auto"/>
      </w:pPr>
      <w:r>
        <w:t>While ETHIO-CYBERGUARD v1.1.0 achieves complete software architectural maturity, a thorough enterprise audit reveals several capability gaps that must be addressed to transition from a software platform into a fully realized, nationwide turnkey defense solution. These gaps are categorized across infrastructure, security hardware, regional language coverage, advanced threat analysis, and operational tooling:</w:t>
      </w:r>
    </w:p>
    <w:p>
      <w:pPr>
        <w:pStyle w:val="Heading2"/>
      </w:pPr>
      <w:r>
        <w:t>4.1 Ingestion Scalability &amp; Distributed Event Streaming (Kafka / Redpanda)</w:t>
      </w:r>
    </w:p>
    <w:p>
      <w:pPr>
        <w:spacing w:line="276" w:lineRule="auto"/>
      </w:pPr>
      <w:r>
        <w:t>• Current State: The platform currently relies on an in-memory asynchronous Python queue coupled with Redis caching. While this easily achieves 51,240 EPS on single-node or clustered worker benchmarks, it represents a single point of queuing failure under nationwide traffic bursts.</w:t>
        <w:br/>
        <w:t>• What Is Missing: Direct integration with an enterprise distributed event streaming bus such as Apache Kafka or Redpanda. For a full national deployment across all 30+ commercial banks, Ethio Telecom branches, and government ministries, ingest volume could reach 200,000+ EPS. A distributed Kafka cluster with partitioned topics (e.g., telemetry.banking, telemetry.telecom, telemetry.scada) is required to ensure multi-datacenter failover and horizontal scaling across multiple ingestion nodes.</w:t>
      </w:r>
    </w:p>
    <w:p>
      <w:pPr>
        <w:pStyle w:val="Heading2"/>
      </w:pPr>
      <w:r>
        <w:t>4.2 Hardware Security Module (HSM) Integration &amp; Appliance ISO Distribution</w:t>
      </w:r>
    </w:p>
    <w:p>
      <w:pPr>
        <w:spacing w:line="276" w:lineRule="auto"/>
      </w:pPr>
      <w:r>
        <w:t>• Current State: Cryptographic audit chaining is performed in software using SHA-256 HMAC algorithms with local secret keys. The system is distributed via Docker Compose, Kubernetes manifests, or source code.</w:t>
        <w:br/>
        <w:t>• What Is Missing: Hardware Security Module (HSM) support via PKCS#11 standard. For court-admissible digital forensics in state-level investigations, audit log hashes and containment approvals must be signed by a tamper-proof hardware cryptographic module (e.g., Thales Luna, YubiHSM). Furthermore, a turnkey, bootable bare-metal ISO distribution (hardened Linux appliance with pre-configured disk encryption, CIS benchmarks, and air-gap installer) is needed for rapid deployment inside classified banking or military datacenter enclaves.</w:t>
      </w:r>
    </w:p>
    <w:p>
      <w:pPr>
        <w:pStyle w:val="Heading2"/>
      </w:pPr>
      <w:r>
        <w:t>4.3 Multilingual NLP Coverage (Afaan Oromoo, Tigrinya, and Somali)</w:t>
      </w:r>
    </w:p>
    <w:p>
      <w:pPr>
        <w:spacing w:line="276" w:lineRule="auto"/>
      </w:pPr>
      <w:r>
        <w:t>• Current State: The localized phishing and social engineering engine primarily targets Amharic Ge'ez script lures and English business emails.</w:t>
        <w:br/>
        <w:t>• What Is Missing: Ethiopia is a diverse federation with multiple major national and regional working languages. Threat actors increasingly conduct fraud and credential phishing in Afaan Oromoo, Tigrinya, and Somali, especially in regional banking branches and mobile wallet user bases. Dedicated NLP tokenizers, stopword dictionaries, and social engineering intent classifiers for these three languages must be integrated into the Phishing Analyzer.</w:t>
      </w:r>
    </w:p>
    <w:p>
      <w:pPr>
        <w:pStyle w:val="Heading2"/>
      </w:pPr>
      <w:r>
        <w:t>4.4 Air-Gapped Dynamic Malware Detonation Sandbox</w:t>
      </w:r>
    </w:p>
    <w:p>
      <w:pPr>
        <w:spacing w:line="276" w:lineRule="auto"/>
      </w:pPr>
      <w:r>
        <w:t>• Current State: The platform performs static indicator matching (SHA-256 hashes against Ethio-CERT / MISP), heuristic file header inspection, and script deobfuscation (PowerShell / Bash).</w:t>
        <w:br/>
        <w:t>• What Is Missing: An isolated, automated dynamic malware detonation environment (similar to CAPE Sandbox / Cuckoo). When an endpoint collector observes an unknown binary or email attachment with an unrecorded hash, the platform should automatically dispatch the sample into a dedicated, air-gapped virtual machine, execute it for 180 seconds, record process lineage, memory injections, and API hooks, and generate a dynamic behavioral score.</w:t>
      </w:r>
    </w:p>
    <w:p>
      <w:pPr>
        <w:pStyle w:val="Heading2"/>
      </w:pPr>
      <w:r>
        <w:t>4.5 ISP-Level BGP FlowSpec / SDN Automated Null-Routing</w:t>
      </w:r>
    </w:p>
    <w:p>
      <w:pPr>
        <w:spacing w:line="276" w:lineRule="auto"/>
      </w:pPr>
      <w:r>
        <w:t>• Current State: The SOAR containment engine pushes firewall drop rules to local perimeter firewalls (Palo Alto, Fortinet, pfSense) via REST API connectors.</w:t>
        <w:br/>
        <w:t>• What Is Missing: Integration with Ethio Telecom upstream Internet Service Provider (ISP) core routing equipment via BGP FlowSpec (RFC 5575) or SDN controllers. When a multi-gigabit volumetric DDoS or nationwide brute-force campaign strikes a financial institution, dropping traffic at the enterprise firewall interface still saturates the WAN uplink. Upstream BGP FlowSpec injection would discard malicious traffic directly at the Ethio Telecom national transit core before it reaches the enterprise perimeter.</w:t>
      </w:r>
    </w:p>
    <w:p>
      <w:pPr>
        <w:pStyle w:val="Heading2"/>
      </w:pPr>
      <w:r>
        <w:t>4.6 Mobile Incident Commander Application with Biometrics</w:t>
      </w:r>
    </w:p>
    <w:p>
      <w:pPr>
        <w:spacing w:line="276" w:lineRule="auto"/>
      </w:pPr>
      <w:r>
        <w:t>• Current State: The SOC interface is accessible via desktop browsers (responsive React 19 HUD).</w:t>
        <w:br/>
        <w:t>• What Is Missing: A native mobile application (iOS / Android) designed specifically for on-call Incident Commanders and CISO personnel. When critical containment actions require dual-custody authorization at 02:00 AM, commanders should receive secure encrypted push notifications and sign dual-custody approval requests using biometric authentication (Face ID / Fingerprint) and hardware device attestation.</w:t>
      </w:r>
    </w:p>
    <w:p>
      <w:pPr>
        <w:pStyle w:val="Heading2"/>
      </w:pPr>
      <w:r>
        <w:t>4.7 Native SIEM Query Language (KQL / SPL-style AST Parser)</w:t>
      </w:r>
    </w:p>
    <w:p>
      <w:pPr>
        <w:spacing w:line="276" w:lineRule="auto"/>
      </w:pPr>
      <w:r>
        <w:t>• Current State: Telemetry and incidents are queried via predefined REST filters (hostname, severity, timestamp) and SQL database queries.</w:t>
        <w:br/>
        <w:t>• What Is Missing: An intuitive, pipe-delimited search language (similar to Kusto Query Language [KQL] or Splunk [SPL]) allowing Tier-3 Threat Hunters to run complex exploratory queries directly from the HUD console, e.g.:</w:t>
        <w:br/>
        <w:t xml:space="preserve">  events | where event_type == 'process_execution' and process.name == 'powershell.exe' | summarize count() by host_name, user</w:t>
      </w:r>
    </w:p>
    <w:p>
      <w:pPr>
        <w:spacing w:after="240"/>
      </w:pPr>
    </w:p>
    <w:p>
      <w:pPr>
        <w:pStyle w:val="Heading2"/>
      </w:pPr>
      <w:r>
        <w:t>4.8 Gap Analysis Summary &amp; Priority Matrix</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40" w:type="dxa"/>
              <w:bottom w:w="140" w:type="dxa"/>
              <w:left w:w="150" w:type="dxa"/>
              <w:right w:w="150" w:type="dxa"/>
            </w:tcMar>
          </w:tcPr>
          <w:p>
            <w:pPr>
              <w:jc w:val="left"/>
            </w:pPr>
            <w:r>
              <w:rPr>
                <w:rFonts w:ascii="Calibri" w:hAnsi="Calibri"/>
                <w:b/>
                <w:color w:val="FFFFFF"/>
                <w:sz w:val="20"/>
              </w:rPr>
              <w:t>Identified Gap</w:t>
            </w:r>
          </w:p>
        </w:tc>
        <w:tc>
          <w:tcPr>
            <w:tcW w:type="dxa" w:w="3600"/>
            <w:shd w:fill="0F172A"/>
            <w:tcMar>
              <w:top w:w="140" w:type="dxa"/>
              <w:bottom w:w="140" w:type="dxa"/>
              <w:left w:w="150" w:type="dxa"/>
              <w:right w:w="150" w:type="dxa"/>
            </w:tcMar>
          </w:tcPr>
          <w:p>
            <w:pPr>
              <w:jc w:val="left"/>
            </w:pPr>
            <w:r>
              <w:rPr>
                <w:rFonts w:ascii="Calibri" w:hAnsi="Calibri"/>
                <w:b/>
                <w:color w:val="FFFFFF"/>
                <w:sz w:val="20"/>
              </w:rPr>
              <w:t>Impact on National SOC</w:t>
            </w:r>
          </w:p>
        </w:tc>
        <w:tc>
          <w:tcPr>
            <w:tcW w:type="dxa" w:w="1728"/>
            <w:shd w:fill="0F172A"/>
            <w:tcMar>
              <w:top w:w="140" w:type="dxa"/>
              <w:bottom w:w="140" w:type="dxa"/>
              <w:left w:w="150" w:type="dxa"/>
              <w:right w:w="150" w:type="dxa"/>
            </w:tcMar>
          </w:tcPr>
          <w:p>
            <w:pPr>
              <w:jc w:val="left"/>
            </w:pPr>
            <w:r>
              <w:rPr>
                <w:rFonts w:ascii="Calibri" w:hAnsi="Calibri"/>
                <w:b/>
                <w:color w:val="FFFFFF"/>
                <w:sz w:val="20"/>
              </w:rPr>
              <w:t>Target Phase</w:t>
            </w:r>
          </w:p>
        </w:tc>
        <w:tc>
          <w:tcPr>
            <w:tcW w:type="dxa" w:w="2160"/>
            <w:shd w:fill="0F172A"/>
            <w:tcMar>
              <w:top w:w="140" w:type="dxa"/>
              <w:bottom w:w="140" w:type="dxa"/>
              <w:left w:w="150" w:type="dxa"/>
              <w:right w:w="150" w:type="dxa"/>
            </w:tcMar>
          </w:tcPr>
          <w:p>
            <w:pPr>
              <w:jc w:val="left"/>
            </w:pPr>
            <w:r>
              <w:rPr>
                <w:rFonts w:ascii="Calibri" w:hAnsi="Calibri"/>
                <w:b/>
                <w:color w:val="FFFFFF"/>
                <w:sz w:val="20"/>
              </w:rPr>
              <w:t>Technical Complexity</w:t>
            </w:r>
          </w:p>
        </w:tc>
      </w:tr>
      <w:tr>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Distributed Kafka Bus</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Enables 200,000+ EPS across multi-datacenter clusters</w:t>
            </w:r>
          </w:p>
        </w:tc>
        <w:tc>
          <w:tcPr>
            <w:tcW w:type="dxa" w:w="1728"/>
            <w:shd w:fill="FFFFFF"/>
            <w:tcMar>
              <w:top w:w="100" w:type="dxa"/>
              <w:bottom w:w="100" w:type="dxa"/>
              <w:left w:w="150" w:type="dxa"/>
              <w:right w:w="150" w:type="dxa"/>
            </w:tcMar>
          </w:tcPr>
          <w:p>
            <w:pPr>
              <w:spacing w:line="276" w:lineRule="auto"/>
            </w:pPr>
            <w:r>
              <w:rPr>
                <w:rFonts w:ascii="Calibri" w:hAnsi="Calibri"/>
                <w:color w:val="334155"/>
                <w:sz w:val="19"/>
              </w:rPr>
              <w:t>Phase 2 (Immediate)</w:t>
            </w:r>
          </w:p>
        </w:tc>
        <w:tc>
          <w:tcPr>
            <w:tcW w:type="dxa" w:w="2160"/>
            <w:shd w:fill="FFFFFF"/>
            <w:tcMar>
              <w:top w:w="100" w:type="dxa"/>
              <w:bottom w:w="100" w:type="dxa"/>
              <w:left w:w="150" w:type="dxa"/>
              <w:right w:w="150" w:type="dxa"/>
            </w:tcMar>
          </w:tcPr>
          <w:p>
            <w:pPr>
              <w:spacing w:line="276" w:lineRule="auto"/>
            </w:pPr>
            <w:r>
              <w:rPr>
                <w:rFonts w:ascii="Calibri" w:hAnsi="Calibri"/>
                <w:color w:val="334155"/>
                <w:sz w:val="19"/>
              </w:rPr>
              <w:t>Medium (Kafka / Redpanda cluster)</w:t>
            </w:r>
          </w:p>
        </w:tc>
      </w:tr>
      <w:tr>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Hardware Security Module (HSM)</w:t>
            </w:r>
          </w:p>
        </w:tc>
        <w:tc>
          <w:tcPr>
            <w:tcW w:type="dxa" w:w="3600"/>
            <w:shd w:fill="F8FAFC"/>
            <w:tcMar>
              <w:top w:w="100" w:type="dxa"/>
              <w:bottom w:w="100" w:type="dxa"/>
              <w:left w:w="150" w:type="dxa"/>
              <w:right w:w="150" w:type="dxa"/>
            </w:tcMar>
          </w:tcPr>
          <w:p>
            <w:pPr>
              <w:spacing w:line="276" w:lineRule="auto"/>
            </w:pPr>
            <w:r>
              <w:rPr>
                <w:rFonts w:ascii="Calibri" w:hAnsi="Calibri"/>
                <w:color w:val="334155"/>
                <w:sz w:val="19"/>
              </w:rPr>
              <w:t>Provides court-admissible hardware-signed audit proof</w:t>
            </w:r>
          </w:p>
        </w:tc>
        <w:tc>
          <w:tcPr>
            <w:tcW w:type="dxa" w:w="1728"/>
            <w:shd w:fill="F8FAFC"/>
            <w:tcMar>
              <w:top w:w="100" w:type="dxa"/>
              <w:bottom w:w="100" w:type="dxa"/>
              <w:left w:w="150" w:type="dxa"/>
              <w:right w:w="150" w:type="dxa"/>
            </w:tcMar>
          </w:tcPr>
          <w:p>
            <w:pPr>
              <w:spacing w:line="276" w:lineRule="auto"/>
            </w:pPr>
            <w:r>
              <w:rPr>
                <w:rFonts w:ascii="Calibri" w:hAnsi="Calibri"/>
                <w:color w:val="334155"/>
                <w:sz w:val="19"/>
              </w:rPr>
              <w:t>Phase 3 (Mid-term)</w:t>
            </w:r>
          </w:p>
        </w:tc>
        <w:tc>
          <w:tcPr>
            <w:tcW w:type="dxa" w:w="2160"/>
            <w:shd w:fill="F8FAFC"/>
            <w:tcMar>
              <w:top w:w="100" w:type="dxa"/>
              <w:bottom w:w="100" w:type="dxa"/>
              <w:left w:w="150" w:type="dxa"/>
              <w:right w:w="150" w:type="dxa"/>
            </w:tcMar>
          </w:tcPr>
          <w:p>
            <w:pPr>
              <w:spacing w:line="276" w:lineRule="auto"/>
            </w:pPr>
            <w:r>
              <w:rPr>
                <w:rFonts w:ascii="Calibri" w:hAnsi="Calibri"/>
                <w:color w:val="334155"/>
                <w:sz w:val="19"/>
              </w:rPr>
              <w:t>High (PKCS#11 / FIPS 140-2)</w:t>
            </w:r>
          </w:p>
        </w:tc>
      </w:tr>
      <w:tr>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Multilingual NLP (Oromo/Tigrinya)</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Closes blind spots in regional banking branch phishing</w:t>
            </w:r>
          </w:p>
        </w:tc>
        <w:tc>
          <w:tcPr>
            <w:tcW w:type="dxa" w:w="1728"/>
            <w:shd w:fill="FFFFFF"/>
            <w:tcMar>
              <w:top w:w="100" w:type="dxa"/>
              <w:bottom w:w="100" w:type="dxa"/>
              <w:left w:w="150" w:type="dxa"/>
              <w:right w:w="150" w:type="dxa"/>
            </w:tcMar>
          </w:tcPr>
          <w:p>
            <w:pPr>
              <w:spacing w:line="276" w:lineRule="auto"/>
            </w:pPr>
            <w:r>
              <w:rPr>
                <w:rFonts w:ascii="Calibri" w:hAnsi="Calibri"/>
                <w:color w:val="334155"/>
                <w:sz w:val="19"/>
              </w:rPr>
              <w:t>Phase 2 (Immediate)</w:t>
            </w:r>
          </w:p>
        </w:tc>
        <w:tc>
          <w:tcPr>
            <w:tcW w:type="dxa" w:w="2160"/>
            <w:shd w:fill="FFFFFF"/>
            <w:tcMar>
              <w:top w:w="100" w:type="dxa"/>
              <w:bottom w:w="100" w:type="dxa"/>
              <w:left w:w="150" w:type="dxa"/>
              <w:right w:w="150" w:type="dxa"/>
            </w:tcMar>
          </w:tcPr>
          <w:p>
            <w:pPr>
              <w:spacing w:line="276" w:lineRule="auto"/>
            </w:pPr>
            <w:r>
              <w:rPr>
                <w:rFonts w:ascii="Calibri" w:hAnsi="Calibri"/>
                <w:color w:val="334155"/>
                <w:sz w:val="19"/>
              </w:rPr>
              <w:t>Medium (Ge'ez/Latin NLP tokenizers)</w:t>
            </w:r>
          </w:p>
        </w:tc>
      </w:tr>
      <w:tr>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Dynamic Malware Sandbox</w:t>
            </w:r>
          </w:p>
        </w:tc>
        <w:tc>
          <w:tcPr>
            <w:tcW w:type="dxa" w:w="3600"/>
            <w:shd w:fill="F8FAFC"/>
            <w:tcMar>
              <w:top w:w="100" w:type="dxa"/>
              <w:bottom w:w="100" w:type="dxa"/>
              <w:left w:w="150" w:type="dxa"/>
              <w:right w:w="150" w:type="dxa"/>
            </w:tcMar>
          </w:tcPr>
          <w:p>
            <w:pPr>
              <w:spacing w:line="276" w:lineRule="auto"/>
            </w:pPr>
            <w:r>
              <w:rPr>
                <w:rFonts w:ascii="Calibri" w:hAnsi="Calibri"/>
                <w:color w:val="334155"/>
                <w:sz w:val="19"/>
              </w:rPr>
              <w:t>Automates behavioral triage of zero-day executables</w:t>
            </w:r>
          </w:p>
        </w:tc>
        <w:tc>
          <w:tcPr>
            <w:tcW w:type="dxa" w:w="1728"/>
            <w:shd w:fill="F8FAFC"/>
            <w:tcMar>
              <w:top w:w="100" w:type="dxa"/>
              <w:bottom w:w="100" w:type="dxa"/>
              <w:left w:w="150" w:type="dxa"/>
              <w:right w:w="150" w:type="dxa"/>
            </w:tcMar>
          </w:tcPr>
          <w:p>
            <w:pPr>
              <w:spacing w:line="276" w:lineRule="auto"/>
            </w:pPr>
            <w:r>
              <w:rPr>
                <w:rFonts w:ascii="Calibri" w:hAnsi="Calibri"/>
                <w:color w:val="334155"/>
                <w:sz w:val="19"/>
              </w:rPr>
              <w:t>Phase 3 (Mid-term)</w:t>
            </w:r>
          </w:p>
        </w:tc>
        <w:tc>
          <w:tcPr>
            <w:tcW w:type="dxa" w:w="2160"/>
            <w:shd w:fill="F8FAFC"/>
            <w:tcMar>
              <w:top w:w="100" w:type="dxa"/>
              <w:bottom w:w="100" w:type="dxa"/>
              <w:left w:w="150" w:type="dxa"/>
              <w:right w:w="150" w:type="dxa"/>
            </w:tcMar>
          </w:tcPr>
          <w:p>
            <w:pPr>
              <w:spacing w:line="276" w:lineRule="auto"/>
            </w:pPr>
            <w:r>
              <w:rPr>
                <w:rFonts w:ascii="Calibri" w:hAnsi="Calibri"/>
                <w:color w:val="334155"/>
                <w:sz w:val="19"/>
              </w:rPr>
              <w:t>High (QEMU / KVM automated detonation)</w:t>
            </w:r>
          </w:p>
        </w:tc>
      </w:tr>
      <w:tr>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ISP BGP FlowSpec Null-Routing</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Eliminates volumetric uplink saturation at Ethio Telecom</w:t>
            </w:r>
          </w:p>
        </w:tc>
        <w:tc>
          <w:tcPr>
            <w:tcW w:type="dxa" w:w="1728"/>
            <w:shd w:fill="FFFFFF"/>
            <w:tcMar>
              <w:top w:w="100" w:type="dxa"/>
              <w:bottom w:w="100" w:type="dxa"/>
              <w:left w:w="150" w:type="dxa"/>
              <w:right w:w="150" w:type="dxa"/>
            </w:tcMar>
          </w:tcPr>
          <w:p>
            <w:pPr>
              <w:spacing w:line="276" w:lineRule="auto"/>
            </w:pPr>
            <w:r>
              <w:rPr>
                <w:rFonts w:ascii="Calibri" w:hAnsi="Calibri"/>
                <w:color w:val="334155"/>
                <w:sz w:val="19"/>
              </w:rPr>
              <w:t>Phase 4 (Long-term)</w:t>
            </w:r>
          </w:p>
        </w:tc>
        <w:tc>
          <w:tcPr>
            <w:tcW w:type="dxa" w:w="2160"/>
            <w:shd w:fill="FFFFFF"/>
            <w:tcMar>
              <w:top w:w="100" w:type="dxa"/>
              <w:bottom w:w="100" w:type="dxa"/>
              <w:left w:w="150" w:type="dxa"/>
              <w:right w:w="150" w:type="dxa"/>
            </w:tcMar>
          </w:tcPr>
          <w:p>
            <w:pPr>
              <w:spacing w:line="276" w:lineRule="auto"/>
            </w:pPr>
            <w:r>
              <w:rPr>
                <w:rFonts w:ascii="Calibri" w:hAnsi="Calibri"/>
                <w:color w:val="334155"/>
                <w:sz w:val="19"/>
              </w:rPr>
              <w:t>High (BGP / Router peering with ISP)</w:t>
            </w:r>
          </w:p>
        </w:tc>
      </w:tr>
      <w:tr>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Mobile Commander App</w:t>
            </w:r>
          </w:p>
        </w:tc>
        <w:tc>
          <w:tcPr>
            <w:tcW w:type="dxa" w:w="3600"/>
            <w:shd w:fill="F8FAFC"/>
            <w:tcMar>
              <w:top w:w="100" w:type="dxa"/>
              <w:bottom w:w="100" w:type="dxa"/>
              <w:left w:w="150" w:type="dxa"/>
              <w:right w:w="150" w:type="dxa"/>
            </w:tcMar>
          </w:tcPr>
          <w:p>
            <w:pPr>
              <w:spacing w:line="276" w:lineRule="auto"/>
            </w:pPr>
            <w:r>
              <w:rPr>
                <w:rFonts w:ascii="Calibri" w:hAnsi="Calibri"/>
                <w:color w:val="334155"/>
                <w:sz w:val="19"/>
              </w:rPr>
              <w:t>Enables rapid 24/7 dual-custody approval via biometrics</w:t>
            </w:r>
          </w:p>
        </w:tc>
        <w:tc>
          <w:tcPr>
            <w:tcW w:type="dxa" w:w="1728"/>
            <w:shd w:fill="F8FAFC"/>
            <w:tcMar>
              <w:top w:w="100" w:type="dxa"/>
              <w:bottom w:w="100" w:type="dxa"/>
              <w:left w:w="150" w:type="dxa"/>
              <w:right w:w="150" w:type="dxa"/>
            </w:tcMar>
          </w:tcPr>
          <w:p>
            <w:pPr>
              <w:spacing w:line="276" w:lineRule="auto"/>
            </w:pPr>
            <w:r>
              <w:rPr>
                <w:rFonts w:ascii="Calibri" w:hAnsi="Calibri"/>
                <w:color w:val="334155"/>
                <w:sz w:val="19"/>
              </w:rPr>
              <w:t>Phase 2 (Immediate)</w:t>
            </w:r>
          </w:p>
        </w:tc>
        <w:tc>
          <w:tcPr>
            <w:tcW w:type="dxa" w:w="2160"/>
            <w:shd w:fill="F8FAFC"/>
            <w:tcMar>
              <w:top w:w="100" w:type="dxa"/>
              <w:bottom w:w="100" w:type="dxa"/>
              <w:left w:w="150" w:type="dxa"/>
              <w:right w:w="150" w:type="dxa"/>
            </w:tcMar>
          </w:tcPr>
          <w:p>
            <w:pPr>
              <w:spacing w:line="276" w:lineRule="auto"/>
            </w:pPr>
            <w:r>
              <w:rPr>
                <w:rFonts w:ascii="Calibri" w:hAnsi="Calibri"/>
                <w:color w:val="334155"/>
                <w:sz w:val="19"/>
              </w:rPr>
              <w:t>Medium (React Native / Push Notifications)</w:t>
            </w:r>
          </w:p>
        </w:tc>
      </w:tr>
      <w:tr>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Ad-Hoc Query Language (KQL)</w:t>
            </w:r>
          </w:p>
        </w:tc>
        <w:tc>
          <w:tcPr>
            <w:tcW w:type="dxa" w:w="3600"/>
            <w:shd w:fill="FFFFFF"/>
            <w:tcMar>
              <w:top w:w="100" w:type="dxa"/>
              <w:bottom w:w="100" w:type="dxa"/>
              <w:left w:w="150" w:type="dxa"/>
              <w:right w:w="150" w:type="dxa"/>
            </w:tcMar>
          </w:tcPr>
          <w:p>
            <w:pPr>
              <w:spacing w:line="276" w:lineRule="auto"/>
            </w:pPr>
            <w:r>
              <w:rPr>
                <w:rFonts w:ascii="Calibri" w:hAnsi="Calibri"/>
                <w:color w:val="334155"/>
                <w:sz w:val="19"/>
              </w:rPr>
              <w:t>Empowers advanced threat hunting across billions of events</w:t>
            </w:r>
          </w:p>
        </w:tc>
        <w:tc>
          <w:tcPr>
            <w:tcW w:type="dxa" w:w="1728"/>
            <w:shd w:fill="FFFFFF"/>
            <w:tcMar>
              <w:top w:w="100" w:type="dxa"/>
              <w:bottom w:w="100" w:type="dxa"/>
              <w:left w:w="150" w:type="dxa"/>
              <w:right w:w="150" w:type="dxa"/>
            </w:tcMar>
          </w:tcPr>
          <w:p>
            <w:pPr>
              <w:spacing w:line="276" w:lineRule="auto"/>
            </w:pPr>
            <w:r>
              <w:rPr>
                <w:rFonts w:ascii="Calibri" w:hAnsi="Calibri"/>
                <w:color w:val="334155"/>
                <w:sz w:val="19"/>
              </w:rPr>
              <w:t>Phase 3 (Mid-term)</w:t>
            </w:r>
          </w:p>
        </w:tc>
        <w:tc>
          <w:tcPr>
            <w:tcW w:type="dxa" w:w="2160"/>
            <w:shd w:fill="FFFFFF"/>
            <w:tcMar>
              <w:top w:w="100" w:type="dxa"/>
              <w:bottom w:w="100" w:type="dxa"/>
              <w:left w:w="150" w:type="dxa"/>
              <w:right w:w="150" w:type="dxa"/>
            </w:tcMar>
          </w:tcPr>
          <w:p>
            <w:pPr>
              <w:spacing w:line="276" w:lineRule="auto"/>
            </w:pPr>
            <w:r>
              <w:rPr>
                <w:rFonts w:ascii="Calibri" w:hAnsi="Calibri"/>
                <w:color w:val="334155"/>
                <w:sz w:val="19"/>
              </w:rPr>
              <w:t>High (Custom AST Query Parser / Engine)</w:t>
            </w:r>
          </w:p>
        </w:tc>
      </w:tr>
    </w:tbl>
    <w:p>
      <w:pPr>
        <w:spacing w:after="240"/>
      </w:pPr>
    </w:p>
    <w:p>
      <w:pPr>
        <w:pStyle w:val="Heading1"/>
      </w:pPr>
      <w:r>
        <w:rPr>
          <w:color w:val="0F172A"/>
        </w:rPr>
        <w:t>5. Empirical Performance Benchmarks &amp; Capacity</w:t>
      </w:r>
    </w:p>
    <w:p>
      <w:pPr>
        <w:spacing w:line="276" w:lineRule="auto"/>
      </w:pPr>
      <w:r>
        <w:t>To validate real-world readiness for high-volume banking and telecommunication networks, comprehensive synthetic load testing was executed. The test environment simulated 150 concurrent endpoint agents streaming continuous Sysmon, Auditd, and CEF firewall events.</w:t>
      </w:r>
    </w:p>
    <w:tbl>
      <w:tblPr>
        <w:tblW w:type="auto" w:w="0"/>
        <w:jc w:val="center"/>
        <w:tblLook w:firstColumn="1" w:firstRow="1" w:lastColumn="0" w:lastRow="0" w:noHBand="0" w:noVBand="1" w:val="04A0"/>
      </w:tblPr>
      <w:tblGrid>
        <w:gridCol w:w="2340"/>
        <w:gridCol w:w="2340"/>
        <w:gridCol w:w="2340"/>
        <w:gridCol w:w="2340"/>
      </w:tblGrid>
      <w:tr>
        <w:tc>
          <w:tcPr>
            <w:tcW w:type="dxa" w:w="2160"/>
            <w:shd w:fill="0F172A"/>
            <w:tcMar>
              <w:top w:w="140" w:type="dxa"/>
              <w:bottom w:w="140" w:type="dxa"/>
              <w:left w:w="150" w:type="dxa"/>
              <w:right w:w="150" w:type="dxa"/>
            </w:tcMar>
          </w:tcPr>
          <w:p>
            <w:pPr>
              <w:jc w:val="left"/>
            </w:pPr>
            <w:r>
              <w:rPr>
                <w:rFonts w:ascii="Calibri" w:hAnsi="Calibri"/>
                <w:b/>
                <w:color w:val="FFFFFF"/>
                <w:sz w:val="20"/>
              </w:rPr>
              <w:t>Percentile</w:t>
            </w:r>
          </w:p>
        </w:tc>
        <w:tc>
          <w:tcPr>
            <w:tcW w:type="dxa" w:w="2448"/>
            <w:shd w:fill="0F172A"/>
            <w:tcMar>
              <w:top w:w="140" w:type="dxa"/>
              <w:bottom w:w="140" w:type="dxa"/>
              <w:left w:w="150" w:type="dxa"/>
              <w:right w:w="150" w:type="dxa"/>
            </w:tcMar>
          </w:tcPr>
          <w:p>
            <w:pPr>
              <w:jc w:val="left"/>
            </w:pPr>
            <w:r>
              <w:rPr>
                <w:rFonts w:ascii="Calibri" w:hAnsi="Calibri"/>
                <w:b/>
                <w:color w:val="FFFFFF"/>
                <w:sz w:val="20"/>
              </w:rPr>
              <w:t>REST API Ingestion</w:t>
            </w:r>
          </w:p>
        </w:tc>
        <w:tc>
          <w:tcPr>
            <w:tcW w:type="dxa" w:w="2592"/>
            <w:shd w:fill="0F172A"/>
            <w:tcMar>
              <w:top w:w="140" w:type="dxa"/>
              <w:bottom w:w="140" w:type="dxa"/>
              <w:left w:w="150" w:type="dxa"/>
              <w:right w:w="150" w:type="dxa"/>
            </w:tcMar>
          </w:tcPr>
          <w:p>
            <w:pPr>
              <w:jc w:val="left"/>
            </w:pPr>
            <w:r>
              <w:rPr>
                <w:rFonts w:ascii="Calibri" w:hAnsi="Calibri"/>
                <w:b/>
                <w:color w:val="FFFFFF"/>
                <w:sz w:val="20"/>
              </w:rPr>
              <w:t>ECS Normalization</w:t>
            </w:r>
          </w:p>
        </w:tc>
        <w:tc>
          <w:tcPr>
            <w:tcW w:type="dxa" w:w="2880"/>
            <w:shd w:fill="0F172A"/>
            <w:tcMar>
              <w:top w:w="140" w:type="dxa"/>
              <w:bottom w:w="140" w:type="dxa"/>
              <w:left w:w="150" w:type="dxa"/>
              <w:right w:w="150" w:type="dxa"/>
            </w:tcMar>
          </w:tcPr>
          <w:p>
            <w:pPr>
              <w:jc w:val="left"/>
            </w:pPr>
            <w:r>
              <w:rPr>
                <w:rFonts w:ascii="Calibri" w:hAnsi="Calibri"/>
                <w:b/>
                <w:color w:val="FFFFFF"/>
                <w:sz w:val="20"/>
              </w:rPr>
              <w:t>End-to-End Alerting Latency</w:t>
            </w:r>
          </w:p>
        </w:tc>
      </w:tr>
      <w:tr>
        <w:tc>
          <w:tcPr>
            <w:tcW w:type="dxa" w:w="2160"/>
            <w:shd w:fill="FFFFFF"/>
            <w:tcMar>
              <w:top w:w="100" w:type="dxa"/>
              <w:bottom w:w="100" w:type="dxa"/>
              <w:left w:w="150" w:type="dxa"/>
              <w:right w:w="150" w:type="dxa"/>
            </w:tcMar>
          </w:tcPr>
          <w:p>
            <w:pPr>
              <w:spacing w:line="276" w:lineRule="auto"/>
            </w:pPr>
            <w:r>
              <w:rPr>
                <w:rFonts w:ascii="Calibri" w:hAnsi="Calibri"/>
                <w:color w:val="334155"/>
                <w:sz w:val="19"/>
              </w:rPr>
              <w:t>p50 (Median)</w:t>
            </w:r>
          </w:p>
        </w:tc>
        <w:tc>
          <w:tcPr>
            <w:tcW w:type="dxa" w:w="2448"/>
            <w:shd w:fill="FFFFFF"/>
            <w:tcMar>
              <w:top w:w="100" w:type="dxa"/>
              <w:bottom w:w="100" w:type="dxa"/>
              <w:left w:w="150" w:type="dxa"/>
              <w:right w:w="150" w:type="dxa"/>
            </w:tcMar>
          </w:tcPr>
          <w:p>
            <w:pPr>
              <w:spacing w:line="276" w:lineRule="auto"/>
            </w:pPr>
            <w:r>
              <w:rPr>
                <w:rFonts w:ascii="Calibri" w:hAnsi="Calibri"/>
                <w:color w:val="334155"/>
                <w:sz w:val="19"/>
              </w:rPr>
              <w:t>4.1 ms</w:t>
            </w:r>
          </w:p>
        </w:tc>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1.8 ms</w:t>
            </w:r>
          </w:p>
        </w:tc>
        <w:tc>
          <w:tcPr>
            <w:tcW w:type="dxa" w:w="2880"/>
            <w:shd w:fill="FFFFFF"/>
            <w:tcMar>
              <w:top w:w="100" w:type="dxa"/>
              <w:bottom w:w="100" w:type="dxa"/>
              <w:left w:w="150" w:type="dxa"/>
              <w:right w:w="150" w:type="dxa"/>
            </w:tcMar>
          </w:tcPr>
          <w:p>
            <w:pPr>
              <w:spacing w:line="276" w:lineRule="auto"/>
            </w:pPr>
            <w:r>
              <w:rPr>
                <w:rFonts w:ascii="Calibri" w:hAnsi="Calibri"/>
                <w:color w:val="334155"/>
                <w:sz w:val="19"/>
              </w:rPr>
              <w:t>14.5 ms</w:t>
            </w:r>
          </w:p>
        </w:tc>
      </w:tr>
      <w:tr>
        <w:tc>
          <w:tcPr>
            <w:tcW w:type="dxa" w:w="2160"/>
            <w:shd w:fill="F8FAFC"/>
            <w:tcMar>
              <w:top w:w="100" w:type="dxa"/>
              <w:bottom w:w="100" w:type="dxa"/>
              <w:left w:w="150" w:type="dxa"/>
              <w:right w:w="150" w:type="dxa"/>
            </w:tcMar>
          </w:tcPr>
          <w:p>
            <w:pPr>
              <w:spacing w:line="276" w:lineRule="auto"/>
            </w:pPr>
            <w:r>
              <w:rPr>
                <w:rFonts w:ascii="Calibri" w:hAnsi="Calibri"/>
                <w:color w:val="334155"/>
                <w:sz w:val="19"/>
              </w:rPr>
              <w:t>p90</w:t>
            </w:r>
          </w:p>
        </w:tc>
        <w:tc>
          <w:tcPr>
            <w:tcW w:type="dxa" w:w="2448"/>
            <w:shd w:fill="F8FAFC"/>
            <w:tcMar>
              <w:top w:w="100" w:type="dxa"/>
              <w:bottom w:w="100" w:type="dxa"/>
              <w:left w:w="150" w:type="dxa"/>
              <w:right w:w="150" w:type="dxa"/>
            </w:tcMar>
          </w:tcPr>
          <w:p>
            <w:pPr>
              <w:spacing w:line="276" w:lineRule="auto"/>
            </w:pPr>
            <w:r>
              <w:rPr>
                <w:rFonts w:ascii="Calibri" w:hAnsi="Calibri"/>
                <w:color w:val="334155"/>
                <w:sz w:val="19"/>
              </w:rPr>
              <w:t>7.2 ms</w:t>
            </w:r>
          </w:p>
        </w:tc>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3.1 ms</w:t>
            </w:r>
          </w:p>
        </w:tc>
        <w:tc>
          <w:tcPr>
            <w:tcW w:type="dxa" w:w="2880"/>
            <w:shd w:fill="F8FAFC"/>
            <w:tcMar>
              <w:top w:w="100" w:type="dxa"/>
              <w:bottom w:w="100" w:type="dxa"/>
              <w:left w:w="150" w:type="dxa"/>
              <w:right w:w="150" w:type="dxa"/>
            </w:tcMar>
          </w:tcPr>
          <w:p>
            <w:pPr>
              <w:spacing w:line="276" w:lineRule="auto"/>
            </w:pPr>
            <w:r>
              <w:rPr>
                <w:rFonts w:ascii="Calibri" w:hAnsi="Calibri"/>
                <w:color w:val="334155"/>
                <w:sz w:val="19"/>
              </w:rPr>
              <w:t>22.0 ms</w:t>
            </w:r>
          </w:p>
        </w:tc>
      </w:tr>
      <w:tr>
        <w:tc>
          <w:tcPr>
            <w:tcW w:type="dxa" w:w="2160"/>
            <w:shd w:fill="FFFFFF"/>
            <w:tcMar>
              <w:top w:w="100" w:type="dxa"/>
              <w:bottom w:w="100" w:type="dxa"/>
              <w:left w:w="150" w:type="dxa"/>
              <w:right w:w="150" w:type="dxa"/>
            </w:tcMar>
          </w:tcPr>
          <w:p>
            <w:pPr>
              <w:spacing w:line="276" w:lineRule="auto"/>
            </w:pPr>
            <w:r>
              <w:rPr>
                <w:rFonts w:ascii="Calibri" w:hAnsi="Calibri"/>
                <w:color w:val="334155"/>
                <w:sz w:val="19"/>
              </w:rPr>
              <w:t>p95</w:t>
            </w:r>
          </w:p>
        </w:tc>
        <w:tc>
          <w:tcPr>
            <w:tcW w:type="dxa" w:w="2448"/>
            <w:shd w:fill="FFFFFF"/>
            <w:tcMar>
              <w:top w:w="100" w:type="dxa"/>
              <w:bottom w:w="100" w:type="dxa"/>
              <w:left w:w="150" w:type="dxa"/>
              <w:right w:w="150" w:type="dxa"/>
            </w:tcMar>
          </w:tcPr>
          <w:p>
            <w:pPr>
              <w:spacing w:line="276" w:lineRule="auto"/>
            </w:pPr>
            <w:r>
              <w:rPr>
                <w:rFonts w:ascii="Calibri" w:hAnsi="Calibri"/>
                <w:color w:val="334155"/>
                <w:sz w:val="19"/>
              </w:rPr>
              <w:t>9.8 ms</w:t>
            </w:r>
          </w:p>
        </w:tc>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4.2 ms</w:t>
            </w:r>
          </w:p>
        </w:tc>
        <w:tc>
          <w:tcPr>
            <w:tcW w:type="dxa" w:w="2880"/>
            <w:shd w:fill="FFFFFF"/>
            <w:tcMar>
              <w:top w:w="100" w:type="dxa"/>
              <w:bottom w:w="100" w:type="dxa"/>
              <w:left w:w="150" w:type="dxa"/>
              <w:right w:w="150" w:type="dxa"/>
            </w:tcMar>
          </w:tcPr>
          <w:p>
            <w:pPr>
              <w:spacing w:line="276" w:lineRule="auto"/>
            </w:pPr>
            <w:r>
              <w:rPr>
                <w:rFonts w:ascii="Calibri" w:hAnsi="Calibri"/>
                <w:color w:val="334155"/>
                <w:sz w:val="19"/>
              </w:rPr>
              <w:t>29.5 ms</w:t>
            </w:r>
          </w:p>
        </w:tc>
      </w:tr>
      <w:tr>
        <w:tc>
          <w:tcPr>
            <w:tcW w:type="dxa" w:w="2160"/>
            <w:shd w:fill="F8FAFC"/>
            <w:tcMar>
              <w:top w:w="100" w:type="dxa"/>
              <w:bottom w:w="100" w:type="dxa"/>
              <w:left w:w="150" w:type="dxa"/>
              <w:right w:w="150" w:type="dxa"/>
            </w:tcMar>
          </w:tcPr>
          <w:p>
            <w:pPr>
              <w:spacing w:line="276" w:lineRule="auto"/>
            </w:pPr>
            <w:r>
              <w:rPr>
                <w:rFonts w:ascii="Calibri" w:hAnsi="Calibri"/>
                <w:color w:val="334155"/>
                <w:sz w:val="19"/>
              </w:rPr>
              <w:t>p99</w:t>
            </w:r>
          </w:p>
        </w:tc>
        <w:tc>
          <w:tcPr>
            <w:tcW w:type="dxa" w:w="2448"/>
            <w:shd w:fill="F8FAFC"/>
            <w:tcMar>
              <w:top w:w="100" w:type="dxa"/>
              <w:bottom w:w="100" w:type="dxa"/>
              <w:left w:w="150" w:type="dxa"/>
              <w:right w:w="150" w:type="dxa"/>
            </w:tcMar>
          </w:tcPr>
          <w:p>
            <w:pPr>
              <w:spacing w:line="276" w:lineRule="auto"/>
            </w:pPr>
            <w:r>
              <w:rPr>
                <w:rFonts w:ascii="Calibri" w:hAnsi="Calibri"/>
                <w:color w:val="334155"/>
                <w:sz w:val="19"/>
              </w:rPr>
              <w:t>16.4 ms</w:t>
            </w:r>
          </w:p>
        </w:tc>
        <w:tc>
          <w:tcPr>
            <w:tcW w:type="dxa" w:w="2592"/>
            <w:shd w:fill="F8FAFC"/>
            <w:tcMar>
              <w:top w:w="100" w:type="dxa"/>
              <w:bottom w:w="100" w:type="dxa"/>
              <w:left w:w="150" w:type="dxa"/>
              <w:right w:w="150" w:type="dxa"/>
            </w:tcMar>
          </w:tcPr>
          <w:p>
            <w:pPr>
              <w:spacing w:line="276" w:lineRule="auto"/>
            </w:pPr>
            <w:r>
              <w:rPr>
                <w:rFonts w:ascii="Calibri" w:hAnsi="Calibri"/>
                <w:color w:val="334155"/>
                <w:sz w:val="19"/>
              </w:rPr>
              <w:t>8.7 ms</w:t>
            </w:r>
          </w:p>
        </w:tc>
        <w:tc>
          <w:tcPr>
            <w:tcW w:type="dxa" w:w="2880"/>
            <w:shd w:fill="F8FAFC"/>
            <w:tcMar>
              <w:top w:w="100" w:type="dxa"/>
              <w:bottom w:w="100" w:type="dxa"/>
              <w:left w:w="150" w:type="dxa"/>
              <w:right w:w="150" w:type="dxa"/>
            </w:tcMar>
          </w:tcPr>
          <w:p>
            <w:pPr>
              <w:spacing w:line="276" w:lineRule="auto"/>
            </w:pPr>
            <w:r>
              <w:rPr>
                <w:rFonts w:ascii="Calibri" w:hAnsi="Calibri"/>
                <w:color w:val="334155"/>
                <w:sz w:val="19"/>
              </w:rPr>
              <w:t>48.0 ms</w:t>
            </w:r>
          </w:p>
        </w:tc>
      </w:tr>
      <w:tr>
        <w:tc>
          <w:tcPr>
            <w:tcW w:type="dxa" w:w="2160"/>
            <w:shd w:fill="FFFFFF"/>
            <w:tcMar>
              <w:top w:w="100" w:type="dxa"/>
              <w:bottom w:w="100" w:type="dxa"/>
              <w:left w:w="150" w:type="dxa"/>
              <w:right w:w="150" w:type="dxa"/>
            </w:tcMar>
          </w:tcPr>
          <w:p>
            <w:pPr>
              <w:spacing w:line="276" w:lineRule="auto"/>
            </w:pPr>
            <w:r>
              <w:rPr>
                <w:rFonts w:ascii="Calibri" w:hAnsi="Calibri"/>
                <w:color w:val="334155"/>
                <w:sz w:val="19"/>
              </w:rPr>
              <w:t>p99.9 (Peak)</w:t>
            </w:r>
          </w:p>
        </w:tc>
        <w:tc>
          <w:tcPr>
            <w:tcW w:type="dxa" w:w="2448"/>
            <w:shd w:fill="FFFFFF"/>
            <w:tcMar>
              <w:top w:w="100" w:type="dxa"/>
              <w:bottom w:w="100" w:type="dxa"/>
              <w:left w:w="150" w:type="dxa"/>
              <w:right w:w="150" w:type="dxa"/>
            </w:tcMar>
          </w:tcPr>
          <w:p>
            <w:pPr>
              <w:spacing w:line="276" w:lineRule="auto"/>
            </w:pPr>
            <w:r>
              <w:rPr>
                <w:rFonts w:ascii="Calibri" w:hAnsi="Calibri"/>
                <w:color w:val="334155"/>
                <w:sz w:val="19"/>
              </w:rPr>
              <w:t>34.0 ms</w:t>
            </w:r>
          </w:p>
        </w:tc>
        <w:tc>
          <w:tcPr>
            <w:tcW w:type="dxa" w:w="2592"/>
            <w:shd w:fill="FFFFFF"/>
            <w:tcMar>
              <w:top w:w="100" w:type="dxa"/>
              <w:bottom w:w="100" w:type="dxa"/>
              <w:left w:w="150" w:type="dxa"/>
              <w:right w:w="150" w:type="dxa"/>
            </w:tcMar>
          </w:tcPr>
          <w:p>
            <w:pPr>
              <w:spacing w:line="276" w:lineRule="auto"/>
            </w:pPr>
            <w:r>
              <w:rPr>
                <w:rFonts w:ascii="Calibri" w:hAnsi="Calibri"/>
                <w:color w:val="334155"/>
                <w:sz w:val="19"/>
              </w:rPr>
              <w:t>15.2 ms</w:t>
            </w:r>
          </w:p>
        </w:tc>
        <w:tc>
          <w:tcPr>
            <w:tcW w:type="dxa" w:w="2880"/>
            <w:shd w:fill="FFFFFF"/>
            <w:tcMar>
              <w:top w:w="100" w:type="dxa"/>
              <w:bottom w:w="100" w:type="dxa"/>
              <w:left w:w="150" w:type="dxa"/>
              <w:right w:w="150" w:type="dxa"/>
            </w:tcMar>
          </w:tcPr>
          <w:p>
            <w:pPr>
              <w:spacing w:line="276" w:lineRule="auto"/>
            </w:pPr>
            <w:r>
              <w:rPr>
                <w:rFonts w:ascii="Calibri" w:hAnsi="Calibri"/>
                <w:color w:val="334155"/>
                <w:sz w:val="19"/>
              </w:rPr>
              <w:t>95.0 ms</w:t>
            </w:r>
          </w:p>
        </w:tc>
      </w:tr>
    </w:tbl>
    <w:p>
      <w:pPr>
        <w:spacing w:after="240"/>
      </w:pPr>
    </w:p>
    <w:p>
      <w:pPr>
        <w:pStyle w:val="Heading1"/>
      </w:pPr>
      <w:r>
        <w:rPr>
          <w:color w:val="0F172A"/>
        </w:rPr>
        <w:t>6. Phased Implementation Roadmap</w:t>
      </w:r>
    </w:p>
    <w:p>
      <w:pPr>
        <w:pStyle w:val="Heading2"/>
      </w:pPr>
      <w:r>
        <w:t>Phase 1: Foundation &amp; Platform Hardening (COMPLETED)</w:t>
      </w:r>
    </w:p>
    <w:p>
      <w:pPr>
        <w:spacing w:line="276" w:lineRule="auto" w:after="120"/>
      </w:pPr>
      <w:r>
        <w:t>• FastAPI ASGI lifespan migration, 14 modular routers, and router aliases.</w:t>
        <w:br/>
        <w:t>• Ingress rate limiting, SHA-256 deduplication, and Dead-Letter Queue (DLQ).</w:t>
        <w:br/>
        <w:t>• 7 specialized AI agents cluster with Pydantic JSON schemas and grounded citations.</w:t>
        <w:br/>
        <w:t>• SOAR dual-custody approval gate, circuit breakers, and SHA-256 chained audit logs.</w:t>
        <w:br/>
        <w:t>• React 19 SOC HUD with Web Audio API synthesizer, radar, and Vite 8 bundle splitting (&lt;270 kB).</w:t>
        <w:br/>
        <w:t>• 75 automated unit, integration, and security tests with 100% pass rate.</w:t>
      </w:r>
    </w:p>
    <w:p>
      <w:pPr>
        <w:pStyle w:val="Heading2"/>
      </w:pPr>
      <w:r>
        <w:t>Phase 2: Regional Language &amp; Mobile Expansion (NEXT - Months 1-3)</w:t>
      </w:r>
    </w:p>
    <w:p>
      <w:pPr>
        <w:spacing w:line="276" w:lineRule="auto" w:after="120"/>
      </w:pPr>
      <w:r>
        <w:t>• Expand NLP phishing tokenizers to Afaan Oromoo, Tigrinya, and Somali.</w:t>
        <w:br/>
        <w:t>• Native Mobile App for Incident Commanders with biometric dual-custody approval.</w:t>
        <w:br/>
        <w:t>• Apache Kafka / Redpanda distributed event bus connector for multi-cluster scaling.</w:t>
        <w:br/>
        <w:t>• Automated STIX 2.1 / TAXII 2.1 bi-directional feed integration with INSA.</w:t>
      </w:r>
    </w:p>
    <w:p>
      <w:pPr>
        <w:pStyle w:val="Heading2"/>
      </w:pPr>
      <w:r>
        <w:t>Phase 3: Active Sandbox &amp; Threat Hunting (Months 4-6)</w:t>
      </w:r>
    </w:p>
    <w:p>
      <w:pPr>
        <w:spacing w:line="276" w:lineRule="auto" w:after="120"/>
      </w:pPr>
      <w:r>
        <w:t>• Air-gapped dynamic malware detonation sandbox for automated executable analysis.</w:t>
        <w:br/>
        <w:t>• Pipe-delimited SIEM query language (KQL-style) with interactive query editor in HUD.</w:t>
        <w:br/>
        <w:t>• Hardware Security Module (HSM) PKCS#11 signing for court-admissible audit ledgers.</w:t>
        <w:br/>
        <w:t>• Direct integration with Ethio Telecom SMS gateway for automated victim notifications.</w:t>
      </w:r>
    </w:p>
    <w:p>
      <w:pPr>
        <w:pStyle w:val="Heading2"/>
      </w:pPr>
      <w:r>
        <w:t>Phase 4: Sovereign National Grid &amp; ISP Core Defense (Months 7-12)</w:t>
      </w:r>
    </w:p>
    <w:p>
      <w:pPr>
        <w:spacing w:line="276" w:lineRule="auto" w:after="120"/>
      </w:pPr>
      <w:r>
        <w:t>• Upstream BGP FlowSpec / SDN automated route injection with Ethio Telecom core routers.</w:t>
        <w:br/>
        <w:t>• Turnkey Bare-Metal ISO Appliance distribution with CIS Level 2 Linux hardening.</w:t>
        <w:br/>
        <w:t>• Federated Multi-Tenant National SOC Mesh interconnecting regional SOC nodes across Ethiopia.</w:t>
      </w:r>
    </w:p>
    <w:p>
      <w:pPr>
        <w:pStyle w:val="Heading1"/>
      </w:pPr>
      <w:r>
        <w:rPr>
          <w:color w:val="0F172A"/>
        </w:rPr>
        <w:t>7. Conclusion &amp; Architectural Sign-Off</w:t>
      </w:r>
    </w:p>
    <w:p>
      <w:pPr>
        <w:spacing w:line="276" w:lineRule="auto" w:after="240"/>
      </w:pPr>
      <w:r>
        <w:t>ETHIO-CYBERGUARD establishes a new standard for sovereign, high-throughput, and AI-assisted cyber defense tailored specifically to the national infrastructure requirements of Ethiopia. By eliminating ungrounded AI hallucinations, enforcing strict dual-custody human governance, and addressing domestic threats in native Ethiopian contexts, the platform provides an operational barrier against advanced threat actors targeting the Horn of Africa.</w:t>
        <w:br/>
        <w:br/>
        <w:t>With a 100% passing test suite across 75 automated benchmarks, zero code quality warnings, and a clear phased roadmap addressing identified enterprise gaps, ETHIO-CYBERGUARD stands ready for pilot deployment across national critical perimeters.</w:t>
      </w:r>
    </w:p>
    <w:p>
      <w:pPr>
        <w:spacing w:after="240"/>
      </w:pPr>
    </w:p>
    <w:tbl>
      <w:tblPr>
        <w:tblW w:type="auto" w:w="0"/>
        <w:jc w:val="center"/>
        <w:tblLook w:firstColumn="1" w:firstRow="1" w:lastColumn="0" w:lastRow="0" w:noHBand="0" w:noVBand="1" w:val="04A0"/>
      </w:tblPr>
      <w:tblGrid>
        <w:gridCol w:w="4680"/>
        <w:gridCol w:w="4680"/>
      </w:tblGrid>
      <w:tr>
        <w:tc>
          <w:tcPr>
            <w:tcW w:type="dxa" w:w="4680"/>
            <w:shd w:fill="F8FAFC"/>
            <w:tcMar>
              <w:top w:w="100" w:type="dxa"/>
              <w:bottom w:w="100" w:type="dxa"/>
              <w:left w:w="150" w:type="dxa"/>
              <w:right w:w="150" w:type="dxa"/>
            </w:tcMar>
          </w:tcPr>
          <w:p>
            <w:r>
              <w:rPr>
                <w:rFonts w:ascii="Calibri" w:hAnsi="Calibri"/>
                <w:sz w:val="19"/>
              </w:rPr>
              <w:t>Lead Cybersecurity Architect:</w:t>
              <w:br/>
              <w:t>Abeni Yirgalem</w:t>
            </w:r>
          </w:p>
        </w:tc>
        <w:tc>
          <w:tcPr>
            <w:tcW w:type="dxa" w:w="4680"/>
            <w:shd w:fill="F8FAFC"/>
            <w:tcMar>
              <w:top w:w="100" w:type="dxa"/>
              <w:bottom w:w="100" w:type="dxa"/>
              <w:left w:w="150" w:type="dxa"/>
              <w:right w:w="150" w:type="dxa"/>
            </w:tcMar>
          </w:tcPr>
          <w:p>
            <w:r>
              <w:rPr>
                <w:rFonts w:ascii="Calibri" w:hAnsi="Calibri"/>
                <w:sz w:val="19"/>
              </w:rPr>
              <w:t>Review Authority:</w:t>
              <w:br/>
              <w:t>INSA / Ethio-CERT Evaluation Board</w:t>
            </w:r>
          </w:p>
        </w:tc>
      </w:tr>
      <w:tr>
        <w:tc>
          <w:tcPr>
            <w:tcW w:type="dxa" w:w="4680"/>
            <w:shd w:fill="F8FAFC"/>
            <w:tcMar>
              <w:top w:w="100" w:type="dxa"/>
              <w:bottom w:w="100" w:type="dxa"/>
              <w:left w:w="150" w:type="dxa"/>
              <w:right w:w="150" w:type="dxa"/>
            </w:tcMar>
          </w:tcPr>
          <w:p>
            <w:r>
              <w:rPr>
                <w:rFonts w:ascii="Calibri" w:hAnsi="Calibri"/>
                <w:sz w:val="19"/>
              </w:rPr>
              <w:t>Verification: 75/75 Tests Passed (100% Green)</w:t>
            </w:r>
          </w:p>
        </w:tc>
        <w:tc>
          <w:tcPr>
            <w:tcW w:type="dxa" w:w="4680"/>
            <w:shd w:fill="F8FAFC"/>
            <w:tcMar>
              <w:top w:w="100" w:type="dxa"/>
              <w:bottom w:w="100" w:type="dxa"/>
              <w:left w:w="150" w:type="dxa"/>
              <w:right w:w="150" w:type="dxa"/>
            </w:tcMar>
          </w:tcPr>
          <w:p>
            <w:r>
              <w:rPr>
                <w:rFonts w:ascii="Calibri" w:hAnsi="Calibri"/>
                <w:sz w:val="19"/>
              </w:rPr>
              <w:t>Release Target: Production v1.1.0</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&amp; Proprietary — Prepared for National Critical Infrastructure Cybersecurity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ETHIO-CYBERGUARD | Enterprise Technical Architecture &amp; Gap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