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840"/>
      </w:pPr>
      <w:r>
        <w:rPr>
          <w:b/>
          <w:color w:val="8E3D4D"/>
          <w:sz w:val="24"/>
        </w:rPr>
        <w:t xml:space="preserve">RHODONITE</w:t>
      </w:r>
    </w:p>
    <w:p>
      <w:pPr>
        <w:spacing w:after="240" w:line="228" w:lineRule="auto"/>
      </w:pPr>
      <w:r>
        <w:rPr>
          <w:b/>
          <w:sz w:val="58"/>
        </w:rPr>
        <w:t xml:space="preserve">COMPANY PROFILE</w:t>
      </w:r>
      <w:r>
        <w:rPr>
          <w:b/>
          <w:sz w:val="58"/>
        </w:rPr>
        <w:br/>
        <w:t xml:space="preserve">QUOTATION</w:t>
      </w:r>
    </w:p>
    <w:p>
      <w:pPr>
        <w:spacing w:after="720"/>
      </w:pPr>
      <w:r>
        <w:rPr>
          <w:color w:val="666666"/>
          <w:sz w:val="26"/>
        </w:rPr>
        <w:t xml:space="preserve">Company Profile Content &amp; Design Development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32"/>
        <w:gridCol w:w="7776"/>
      </w:tblGrid>
      <w:tr>
        <w:trPr>
          <w:cantSplit/>
          <w:jc w:val="center"/>
        </w:trPr>
        <w:tc>
          <w:tcPr>
            <w:tcW w:w="2232" w:type="dxa"/>
            <w:tcBorders>
              <w:bottom w:val="single" w:sz="6" w:space="0" w:color="D9D6D6"/>
            </w:tcBorders>
            <w:vAlign w:val="center"/>
          </w:tcPr>
          <w:p>
            <w:pPr>
              <w:spacing w:after="100"/>
            </w:pPr>
            <w:r>
              <w:rPr>
                <w:b/>
                <w:color w:val="666666"/>
                <w:sz w:val="16"/>
              </w:rPr>
              <w:t xml:space="preserve">PREPARED FOR</w:t>
            </w:r>
          </w:p>
        </w:tc>
        <w:tc>
          <w:tcPr>
            <w:tcW w:w="7776" w:type="dxa"/>
            <w:tcBorders>
              <w:bottom w:val="single" w:sz="6" w:space="0" w:color="D9D6D6"/>
            </w:tcBorders>
            <w:vAlign w:val="center"/>
          </w:tcPr>
          <w:p>
            <w:pPr>
              <w:spacing w:after="100"/>
            </w:pPr>
            <w:r>
              <w:rPr>
                <w:b/>
              </w:rPr>
              <w:t xml:space="preserve">Tajir Holding</w:t>
            </w:r>
          </w:p>
        </w:tc>
      </w:tr>
      <w:tr>
        <w:trPr>
          <w:cantSplit/>
          <w:jc w:val="center"/>
        </w:trPr>
        <w:tc>
          <w:tcPr>
            <w:tcW w:w="2232" w:type="dxa"/>
            <w:tcBorders>
              <w:bottom w:val="single" w:sz="6" w:space="0" w:color="D9D6D6"/>
            </w:tcBorders>
            <w:vAlign w:val="center"/>
          </w:tcPr>
          <w:p>
            <w:pPr>
              <w:spacing w:after="100"/>
            </w:pPr>
            <w:r>
              <w:rPr>
                <w:b/>
                <w:color w:val="666666"/>
                <w:sz w:val="16"/>
              </w:rPr>
              <w:t xml:space="preserve">PREPARED BY</w:t>
            </w:r>
          </w:p>
        </w:tc>
        <w:tc>
          <w:tcPr>
            <w:tcW w:w="7776" w:type="dxa"/>
            <w:tcBorders>
              <w:bottom w:val="single" w:sz="6" w:space="0" w:color="D9D6D6"/>
            </w:tcBorders>
            <w:vAlign w:val="center"/>
          </w:tcPr>
          <w:p>
            <w:pPr>
              <w:spacing w:after="100"/>
            </w:pPr>
            <w:r>
              <w:rPr>
                <w:b/>
              </w:rPr>
              <w:t xml:space="preserve">Rhodonite</w:t>
            </w:r>
          </w:p>
        </w:tc>
      </w:tr>
      <w:tr>
        <w:trPr>
          <w:cantSplit/>
          <w:jc w:val="center"/>
        </w:trPr>
        <w:tc>
          <w:tcPr>
            <w:tcW w:w="2232" w:type="dxa"/>
            <w:tcBorders>
              <w:bottom w:val="single" w:sz="6" w:space="0" w:color="D9D6D6"/>
            </w:tcBorders>
            <w:vAlign w:val="center"/>
          </w:tcPr>
          <w:p>
            <w:pPr>
              <w:spacing w:after="100"/>
            </w:pPr>
            <w:r>
              <w:rPr>
                <w:b/>
                <w:color w:val="666666"/>
                <w:sz w:val="16"/>
              </w:rPr>
              <w:t xml:space="preserve">ENGAGEMENT</w:t>
            </w:r>
          </w:p>
        </w:tc>
        <w:tc>
          <w:tcPr>
            <w:tcW w:w="7776" w:type="dxa"/>
            <w:tcBorders>
              <w:bottom w:val="single" w:sz="6" w:space="0" w:color="D9D6D6"/>
            </w:tcBorders>
            <w:vAlign w:val="center"/>
          </w:tcPr>
          <w:p>
            <w:pPr>
              <w:spacing w:after="100"/>
            </w:pPr>
            <w:r>
              <w:t xml:space="preserve">Company Profile Content &amp; Design Development</w:t>
            </w:r>
          </w:p>
        </w:tc>
      </w:tr>
      <w:tr>
        <w:trPr>
          <w:cantSplit/>
          <w:jc w:val="center"/>
        </w:trPr>
        <w:tc>
          <w:tcPr>
            <w:tcW w:w="2232" w:type="dxa"/>
            <w:tcBorders>
              <w:bottom w:val="single" w:sz="6" w:space="0" w:color="D9D6D6"/>
            </w:tcBorders>
            <w:vAlign w:val="center"/>
          </w:tcPr>
          <w:p>
            <w:pPr>
              <w:spacing w:after="100"/>
            </w:pPr>
            <w:r>
              <w:rPr>
                <w:b/>
                <w:color w:val="666666"/>
                <w:sz w:val="16"/>
              </w:rPr>
              <w:t xml:space="preserve">COMMERCIAL MODEL</w:t>
            </w:r>
          </w:p>
        </w:tc>
        <w:tc>
          <w:tcPr>
            <w:tcW w:w="7776" w:type="dxa"/>
            <w:tcBorders>
              <w:bottom w:val="single" w:sz="6" w:space="0" w:color="D9D6D6"/>
            </w:tcBorders>
            <w:vAlign w:val="center"/>
          </w:tcPr>
          <w:p>
            <w:pPr>
              <w:spacing w:after="100"/>
            </w:pPr>
            <w:r>
              <w:t xml:space="preserve">Fixed project fee — 60% advance / 40% on delivery</w:t>
            </w:r>
          </w:p>
        </w:tc>
      </w:tr>
      <w:tr>
        <w:trPr>
          <w:cantSplit/>
          <w:jc w:val="center"/>
        </w:trPr>
        <w:tc>
          <w:tcPr>
            <w:tcW w:w="2232" w:type="dxa"/>
            <w:tcBorders>
              <w:bottom w:val="single" w:sz="6" w:space="0" w:color="D9D6D6"/>
            </w:tcBorders>
            <w:vAlign w:val="center"/>
          </w:tcPr>
          <w:p>
            <w:pPr>
              <w:spacing w:after="100"/>
            </w:pPr>
            <w:r>
              <w:rPr>
                <w:b/>
                <w:color w:val="666666"/>
                <w:sz w:val="16"/>
              </w:rPr>
              <w:t xml:space="preserve">DELIVERY TIMEFRAME</w:t>
            </w:r>
          </w:p>
        </w:tc>
        <w:tc>
          <w:tcPr>
            <w:tcW w:w="7776" w:type="dxa"/>
            <w:tcBorders>
              <w:bottom w:val="single" w:sz="6" w:space="0" w:color="D9D6D6"/>
            </w:tcBorders>
            <w:vAlign w:val="center"/>
          </w:tcPr>
          <w:p>
            <w:pPr>
              <w:spacing w:after="100"/>
            </w:pPr>
            <w:r>
              <w:t xml:space="preserve">7 to 10 working days</w:t>
            </w:r>
          </w:p>
        </w:tc>
      </w:tr>
      <w:tr>
        <w:trPr>
          <w:cantSplit/>
          <w:jc w:val="center"/>
        </w:trPr>
        <w:tc>
          <w:tcPr>
            <w:tcW w:w="2232" w:type="dxa"/>
            <w:tcBorders>
              <w:bottom w:val="single" w:sz="6" w:space="0" w:color="D9D6D6"/>
            </w:tcBorders>
            <w:vAlign w:val="center"/>
          </w:tcPr>
          <w:p>
            <w:pPr>
              <w:spacing w:after="100"/>
            </w:pPr>
            <w:r>
              <w:rPr>
                <w:b/>
                <w:color w:val="666666"/>
                <w:sz w:val="16"/>
              </w:rPr>
              <w:t xml:space="preserve">QUOTATION DATE</w:t>
            </w:r>
          </w:p>
        </w:tc>
        <w:tc>
          <w:tcPr>
            <w:tcW w:w="7776" w:type="dxa"/>
            <w:tcBorders>
              <w:bottom w:val="single" w:sz="6" w:space="0" w:color="D9D6D6"/>
            </w:tcBorders>
            <w:vAlign w:val="center"/>
          </w:tcPr>
          <w:p>
            <w:pPr>
              <w:spacing w:after="100"/>
            </w:pPr>
            <w:r>
              <w:t xml:space="preserve">02 October 2026</w:t>
            </w:r>
          </w:p>
        </w:tc>
      </w:tr>
    </w:tbl>
    <w:p>
      <w:pPr>
        <w:spacing w:after="900"/>
      </w:pPr>
    </w:p>
    <w:p>
      <w:pPr>
        <w:spacing w:after="160"/>
      </w:pPr>
      <w:r>
        <w:rPr>
          <w:b/>
          <w:color w:val="8E3D4D"/>
          <w:sz w:val="18"/>
        </w:rPr>
        <w:t xml:space="preserve">COMMERCIAL SUMMARY</w:t>
      </w:r>
    </w:p>
    <w:p>
      <w:pPr>
        <w:spacing w:after="100"/>
      </w:pPr>
      <w:r>
        <w:rPr>
          <w:b/>
          <w:sz w:val="50"/>
        </w:rPr>
        <w:t xml:space="preserve">ETB 60,000</w:t>
      </w:r>
    </w:p>
    <w:p>
      <w:pPr>
        <w:spacing w:after="0"/>
      </w:pPr>
      <w:r>
        <w:rPr>
          <w:color w:val="666666"/>
        </w:rPr>
        <w:t xml:space="preserve">Before VAT  •  VAT 15%: ETB 9,000  •  Total project value: ETB 69,000 incl. VAT</w:t>
      </w:r>
    </w:p>
    <w:p>
      <w:r>
        <w:br w:type="page"/>
      </w:r>
    </w:p>
    <w:p>
      <w:pPr>
        <w:spacing w:after="160"/>
      </w:pPr>
      <w:r>
        <w:rPr>
          <w:b/>
          <w:sz w:val="36"/>
        </w:rPr>
        <w:t xml:space="preserve">1. Scope of Work</w:t>
      </w:r>
    </w:p>
    <w:p>
      <w:pPr>
        <w:spacing w:after="240"/>
      </w:pPr>
      <w:r>
        <w:rPr>
          <w:sz w:val="21"/>
        </w:rPr>
        <w:t xml:space="preserve">Rhodonite will develop Tajir Holding’s company profile end to end — from structuring and writing the content to designing a polished, brand-aligned document that presents the group’s identity, portfolio and capabilities to partners, investors and clients.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01"/>
        <w:gridCol w:w="2001"/>
        <w:gridCol w:w="2001"/>
        <w:gridCol w:w="2001"/>
        <w:gridCol w:w="2001"/>
      </w:tblGrid>
      <w:tr>
        <w:trPr>
          <w:cantSplit/>
          <w:jc w:val="center"/>
        </w:trPr>
        <w:tc>
          <w:tcPr>
            <w:tcW w:w="2001" w:type="dxa"/>
            <w:shd w:val="clear" w:color="auto" w:fill="17171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34"/>
              </w:rPr>
              <w:t xml:space="preserve">60K</w:t>
            </w:r>
          </w:p>
        </w:tc>
        <w:tc>
          <w:tcPr>
            <w:tcW w:w="2001" w:type="dxa"/>
            <w:shd w:val="clear" w:color="auto" w:fill="17171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34"/>
              </w:rPr>
              <w:t xml:space="preserve">15%</w:t>
            </w:r>
          </w:p>
        </w:tc>
        <w:tc>
          <w:tcPr>
            <w:tcW w:w="2001" w:type="dxa"/>
            <w:shd w:val="clear" w:color="auto" w:fill="17171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34"/>
              </w:rPr>
              <w:t xml:space="preserve">60%</w:t>
            </w:r>
          </w:p>
        </w:tc>
        <w:tc>
          <w:tcPr>
            <w:tcW w:w="2001" w:type="dxa"/>
            <w:shd w:val="clear" w:color="auto" w:fill="17171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34"/>
              </w:rPr>
              <w:t xml:space="preserve">40%</w:t>
            </w:r>
          </w:p>
        </w:tc>
        <w:tc>
          <w:tcPr>
            <w:tcW w:w="2001" w:type="dxa"/>
            <w:shd w:val="clear" w:color="auto" w:fill="171717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34"/>
              </w:rPr>
              <w:t xml:space="preserve">7–10</w:t>
            </w:r>
          </w:p>
        </w:tc>
      </w:tr>
      <w:tr>
        <w:trPr>
          <w:cantSplit/>
          <w:jc w:val="center"/>
        </w:trPr>
        <w:tc>
          <w:tcPr>
            <w:tcW w:w="2001" w:type="dxa"/>
            <w:shd w:val="clear" w:color="auto" w:fill="F3F1F1"/>
            <w:vAlign w:val="center"/>
          </w:tcPr>
          <w:p>
            <w:pPr>
              <w:jc w:val="center"/>
            </w:pPr>
            <w:r>
              <w:rPr>
                <w:color w:val="666666"/>
                <w:sz w:val="17"/>
              </w:rPr>
              <w:t xml:space="preserve">ETB fee before VAT</w:t>
            </w:r>
          </w:p>
        </w:tc>
        <w:tc>
          <w:tcPr>
            <w:tcW w:w="2001" w:type="dxa"/>
            <w:shd w:val="clear" w:color="auto" w:fill="F3F1F1"/>
            <w:vAlign w:val="center"/>
          </w:tcPr>
          <w:p>
            <w:pPr>
              <w:jc w:val="center"/>
            </w:pPr>
            <w:r>
              <w:rPr>
                <w:color w:val="666666"/>
                <w:sz w:val="17"/>
              </w:rPr>
              <w:t xml:space="preserve">VAT applied</w:t>
            </w:r>
          </w:p>
        </w:tc>
        <w:tc>
          <w:tcPr>
            <w:tcW w:w="2001" w:type="dxa"/>
            <w:shd w:val="clear" w:color="auto" w:fill="F3F1F1"/>
            <w:vAlign w:val="center"/>
          </w:tcPr>
          <w:p>
            <w:pPr>
              <w:jc w:val="center"/>
            </w:pPr>
            <w:r>
              <w:rPr>
                <w:color w:val="666666"/>
                <w:sz w:val="17"/>
              </w:rPr>
              <w:t xml:space="preserve">Advance payment</w:t>
            </w:r>
          </w:p>
        </w:tc>
        <w:tc>
          <w:tcPr>
            <w:tcW w:w="2001" w:type="dxa"/>
            <w:shd w:val="clear" w:color="auto" w:fill="F3F1F1"/>
            <w:vAlign w:val="center"/>
          </w:tcPr>
          <w:p>
            <w:pPr>
              <w:jc w:val="center"/>
            </w:pPr>
            <w:r>
              <w:rPr>
                <w:color w:val="666666"/>
                <w:sz w:val="17"/>
              </w:rPr>
              <w:t xml:space="preserve">Balance on delivery</w:t>
            </w:r>
          </w:p>
        </w:tc>
        <w:tc>
          <w:tcPr>
            <w:tcW w:w="2001" w:type="dxa"/>
            <w:shd w:val="clear" w:color="auto" w:fill="F3F1F1"/>
            <w:vAlign w:val="center"/>
          </w:tcPr>
          <w:p>
            <w:pPr>
              <w:jc w:val="center"/>
            </w:pPr>
            <w:r>
              <w:rPr>
                <w:color w:val="666666"/>
                <w:sz w:val="17"/>
              </w:rPr>
              <w:t xml:space="preserve">Working days</w:t>
            </w:r>
          </w:p>
        </w:tc>
      </w:tr>
    </w:tbl>
    <w:p>
      <w:pPr>
        <w:spacing w:after="140"/>
      </w:pPr>
    </w:p>
    <w:p>
      <w:pPr>
        <w:spacing w:after="120"/>
      </w:pPr>
      <w:r>
        <w:rPr>
          <w:b/>
          <w:color w:val="8E3D4D"/>
          <w:sz w:val="24"/>
        </w:rPr>
        <w:t xml:space="preserve">Scope included in the project fee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7608"/>
      </w:tblGrid>
      <w:tr>
        <w:trPr>
          <w:cantSplit/>
          <w:tblHeader/>
          <w:jc w:val="center"/>
        </w:trPr>
        <w:tc>
          <w:tcPr>
            <w:tcW w:w="2400" w:type="dxa"/>
            <w:shd w:val="clear" w:color="auto" w:fill="171717"/>
            <w:vAlign w:val="center"/>
          </w:tcPr>
          <w:p>
            <w:r>
              <w:rPr>
                <w:b/>
                <w:color w:val="FFFFFF"/>
                <w:sz w:val="17"/>
              </w:rPr>
              <w:t xml:space="preserve">SERVICE</w:t>
            </w:r>
          </w:p>
        </w:tc>
        <w:tc>
          <w:tcPr>
            <w:tcW w:w="7608" w:type="dxa"/>
            <w:shd w:val="clear" w:color="auto" w:fill="171717"/>
            <w:vAlign w:val="center"/>
          </w:tcPr>
          <w:p>
            <w:r>
              <w:rPr>
                <w:b/>
                <w:color w:val="FFFFFF"/>
                <w:sz w:val="17"/>
              </w:rPr>
              <w:t xml:space="preserve">INCLUDED RESPONSIBILITY</w:t>
            </w:r>
          </w:p>
        </w:tc>
      </w:tr>
      <w:tr>
        <w:trPr>
          <w:cantSplit/>
          <w:jc w:val="center"/>
        </w:trPr>
        <w:tc>
          <w:tcPr>
            <w:tcW w:w="2400" w:type="dxa"/>
            <w:tcBorders>
              <w:bottom w:val="single" w:sz="5" w:space="0" w:color="D9D6D6"/>
            </w:tcBorders>
            <w:vAlign w:val="center"/>
          </w:tcPr>
          <w:p>
            <w:pPr>
              <w:spacing w:after="100"/>
            </w:pPr>
            <w:r>
              <w:rPr>
                <w:b/>
                <w:sz w:val="18"/>
              </w:rPr>
              <w:t xml:space="preserve">Discovery &amp; brief</w:t>
            </w:r>
          </w:p>
        </w:tc>
        <w:tc>
          <w:tcPr>
            <w:tcW w:w="7608" w:type="dxa"/>
            <w:tcBorders>
              <w:bottom w:val="single" w:sz="5" w:space="0" w:color="D9D6D6"/>
            </w:tcBorders>
            <w:vAlign w:val="center"/>
          </w:tcPr>
          <w:p>
            <w:pPr>
              <w:spacing w:after="100"/>
            </w:pPr>
            <w:r>
              <w:rPr>
                <w:sz w:val="18"/>
              </w:rPr>
              <w:t xml:space="preserve">Kick-off session to confirm objectives, audience, tone and key messages; review of existing materials and brand assets.</w:t>
            </w:r>
          </w:p>
        </w:tc>
      </w:tr>
      <w:tr>
        <w:trPr>
          <w:cantSplit/>
          <w:jc w:val="center"/>
        </w:trPr>
        <w:tc>
          <w:tcPr>
            <w:tcW w:w="2400" w:type="dxa"/>
            <w:tcBorders>
              <w:bottom w:val="single" w:sz="5" w:space="0" w:color="D9D6D6"/>
            </w:tcBorders>
            <w:vAlign w:val="center"/>
          </w:tcPr>
          <w:p>
            <w:pPr>
              <w:spacing w:after="100"/>
            </w:pPr>
            <w:r>
              <w:rPr>
                <w:b/>
                <w:sz w:val="18"/>
              </w:rPr>
              <w:t xml:space="preserve">Content structure</w:t>
            </w:r>
          </w:p>
        </w:tc>
        <w:tc>
          <w:tcPr>
            <w:tcW w:w="7608" w:type="dxa"/>
            <w:tcBorders>
              <w:bottom w:val="single" w:sz="5" w:space="0" w:color="D9D6D6"/>
            </w:tcBorders>
            <w:vAlign w:val="center"/>
          </w:tcPr>
          <w:p>
            <w:pPr>
              <w:spacing w:after="100"/>
            </w:pPr>
            <w:r>
              <w:rPr>
                <w:sz w:val="18"/>
              </w:rPr>
              <w:t xml:space="preserve">Page flow covering overview, vision, mission &amp; values, leadership message, business units, capabilities, milestones and contacts.</w:t>
            </w:r>
          </w:p>
        </w:tc>
      </w:tr>
      <w:tr>
        <w:trPr>
          <w:cantSplit/>
          <w:jc w:val="center"/>
        </w:trPr>
        <w:tc>
          <w:tcPr>
            <w:tcW w:w="2400" w:type="dxa"/>
            <w:tcBorders>
              <w:bottom w:val="single" w:sz="5" w:space="0" w:color="D9D6D6"/>
            </w:tcBorders>
            <w:vAlign w:val="center"/>
          </w:tcPr>
          <w:p>
            <w:pPr>
              <w:spacing w:after="100"/>
            </w:pPr>
            <w:r>
              <w:rPr>
                <w:b/>
                <w:sz w:val="18"/>
              </w:rPr>
              <w:t xml:space="preserve">Copywriting &amp; editing</w:t>
            </w:r>
          </w:p>
        </w:tc>
        <w:tc>
          <w:tcPr>
            <w:tcW w:w="7608" w:type="dxa"/>
            <w:tcBorders>
              <w:bottom w:val="single" w:sz="5" w:space="0" w:color="D9D6D6"/>
            </w:tcBorders>
            <w:vAlign w:val="center"/>
          </w:tcPr>
          <w:p>
            <w:pPr>
              <w:spacing w:after="100"/>
            </w:pPr>
            <w:r>
              <w:rPr>
                <w:sz w:val="18"/>
              </w:rPr>
              <w:t xml:space="preserve">Professional English copywriting and editing of all sections in a confident corporate tone, based on information supplied.</w:t>
            </w:r>
          </w:p>
        </w:tc>
      </w:tr>
      <w:tr>
        <w:trPr>
          <w:cantSplit/>
          <w:jc w:val="center"/>
        </w:trPr>
        <w:tc>
          <w:tcPr>
            <w:tcW w:w="2400" w:type="dxa"/>
            <w:tcBorders>
              <w:bottom w:val="single" w:sz="5" w:space="0" w:color="D9D6D6"/>
            </w:tcBorders>
            <w:vAlign w:val="center"/>
          </w:tcPr>
          <w:p>
            <w:pPr>
              <w:spacing w:after="100"/>
            </w:pPr>
            <w:r>
              <w:rPr>
                <w:b/>
                <w:sz w:val="18"/>
              </w:rPr>
              <w:t xml:space="preserve">Design &amp; layout</w:t>
            </w:r>
          </w:p>
        </w:tc>
        <w:tc>
          <w:tcPr>
            <w:tcW w:w="7608" w:type="dxa"/>
            <w:tcBorders>
              <w:bottom w:val="single" w:sz="5" w:space="0" w:color="D9D6D6"/>
            </w:tcBorders>
            <w:vAlign w:val="center"/>
          </w:tcPr>
          <w:p>
            <w:pPr>
              <w:spacing w:after="100"/>
            </w:pPr>
            <w:r>
              <w:rPr>
                <w:sz w:val="18"/>
              </w:rPr>
              <w:t xml:space="preserve">Cover, visual direction and full page layouts aligned with Tajir Holding’s brand — typography, colour, icons, infographics and imagery.</w:t>
            </w:r>
          </w:p>
        </w:tc>
      </w:tr>
      <w:tr>
        <w:trPr>
          <w:cantSplit/>
          <w:jc w:val="center"/>
        </w:trPr>
        <w:tc>
          <w:tcPr>
            <w:tcW w:w="2400" w:type="dxa"/>
            <w:tcBorders>
              <w:bottom w:val="single" w:sz="5" w:space="0" w:color="D9D6D6"/>
            </w:tcBorders>
            <w:vAlign w:val="center"/>
          </w:tcPr>
          <w:p>
            <w:pPr>
              <w:spacing w:after="100"/>
            </w:pPr>
            <w:r>
              <w:rPr>
                <w:b/>
                <w:sz w:val="18"/>
              </w:rPr>
              <w:t xml:space="preserve">Revisions</w:t>
            </w:r>
          </w:p>
        </w:tc>
        <w:tc>
          <w:tcPr>
            <w:tcW w:w="7608" w:type="dxa"/>
            <w:tcBorders>
              <w:bottom w:val="single" w:sz="5" w:space="0" w:color="D9D6D6"/>
            </w:tcBorders>
            <w:vAlign w:val="center"/>
          </w:tcPr>
          <w:p>
            <w:pPr>
              <w:spacing w:after="100"/>
            </w:pPr>
            <w:r>
              <w:rPr>
                <w:sz w:val="18"/>
              </w:rPr>
              <w:t xml:space="preserve">Up to two consolidated revision rounds on content and design.</w:t>
            </w:r>
          </w:p>
        </w:tc>
      </w:tr>
      <w:tr>
        <w:trPr>
          <w:cantSplit/>
          <w:jc w:val="center"/>
        </w:trPr>
        <w:tc>
          <w:tcPr>
            <w:tcW w:w="2400" w:type="dxa"/>
            <w:tcBorders>
              <w:bottom w:val="single" w:sz="5" w:space="0" w:color="D9D6D6"/>
            </w:tcBorders>
            <w:vAlign w:val="center"/>
          </w:tcPr>
          <w:p>
            <w:pPr>
              <w:spacing w:after="100"/>
            </w:pPr>
            <w:r>
              <w:rPr>
                <w:b/>
                <w:sz w:val="18"/>
              </w:rPr>
              <w:t xml:space="preserve">Final delivery</w:t>
            </w:r>
          </w:p>
        </w:tc>
        <w:tc>
          <w:tcPr>
            <w:tcW w:w="7608" w:type="dxa"/>
            <w:tcBorders>
              <w:bottom w:val="single" w:sz="5" w:space="0" w:color="D9D6D6"/>
            </w:tcBorders>
            <w:vAlign w:val="center"/>
          </w:tcPr>
          <w:p>
            <w:pPr>
              <w:spacing w:after="100"/>
            </w:pPr>
            <w:r>
              <w:rPr>
                <w:sz w:val="18"/>
              </w:rPr>
              <w:t xml:space="preserve">Print-ready high-resolution PDF and an optimized digital PDF for email and web.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/>
          <w:color w:val="8E3D4D"/>
          <w:sz w:val="24"/>
        </w:rPr>
        <w:t xml:space="preserve">Indicative delivery schedule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7608"/>
      </w:tblGrid>
      <w:tr>
        <w:trPr>
          <w:cantSplit/>
          <w:tblHeader/>
          <w:jc w:val="center"/>
        </w:trPr>
        <w:tc>
          <w:tcPr>
            <w:tcW w:w="2400" w:type="dxa"/>
            <w:shd w:val="clear" w:color="auto" w:fill="8E3D4D"/>
            <w:vAlign w:val="center"/>
          </w:tcPr>
          <w:p>
            <w:r>
              <w:rPr>
                <w:b/>
                <w:color w:val="FFFFFF"/>
                <w:sz w:val="16"/>
              </w:rPr>
              <w:t xml:space="preserve">TIMELINE</w:t>
            </w:r>
          </w:p>
        </w:tc>
        <w:tc>
          <w:tcPr>
            <w:tcW w:w="7608" w:type="dxa"/>
            <w:shd w:val="clear" w:color="auto" w:fill="8E3D4D"/>
            <w:vAlign w:val="center"/>
          </w:tcPr>
          <w:p>
            <w:r>
              <w:rPr>
                <w:b/>
                <w:color w:val="FFFFFF"/>
                <w:sz w:val="16"/>
              </w:rPr>
              <w:t xml:space="preserve">ACTIVITY</w:t>
            </w:r>
          </w:p>
        </w:tc>
      </w:tr>
      <w:tr>
        <w:trPr>
          <w:cantSplit/>
          <w:jc w:val="center"/>
        </w:trPr>
        <w:tc>
          <w:tcPr>
            <w:tcW w:w="2400" w:type="dxa"/>
            <w:tcBorders>
              <w:bottom w:val="single" w:sz="5" w:space="0" w:color="D9D6D6"/>
            </w:tcBorders>
            <w:vAlign w:val="center"/>
          </w:tcPr>
          <w:p>
            <w:pPr>
              <w:spacing w:after="80"/>
            </w:pPr>
            <w:r>
              <w:rPr>
                <w:b/>
                <w:sz w:val="18"/>
              </w:rPr>
              <w:t xml:space="preserve">Days 1–2</w:t>
            </w:r>
          </w:p>
        </w:tc>
        <w:tc>
          <w:tcPr>
            <w:tcW w:w="7608" w:type="dxa"/>
            <w:tcBorders>
              <w:bottom w:val="single" w:sz="5" w:space="0" w:color="D9D6D6"/>
            </w:tcBorders>
            <w:vAlign w:val="center"/>
          </w:tcPr>
          <w:p>
            <w:pPr>
              <w:spacing w:after="80"/>
            </w:pPr>
            <w:r>
              <w:rPr>
                <w:sz w:val="18"/>
              </w:rPr>
              <w:t xml:space="preserve">Kick-off, content brief, information gathering and content outline approval.</w:t>
            </w:r>
          </w:p>
        </w:tc>
      </w:tr>
      <w:tr>
        <w:trPr>
          <w:cantSplit/>
          <w:jc w:val="center"/>
        </w:trPr>
        <w:tc>
          <w:tcPr>
            <w:tcW w:w="2400" w:type="dxa"/>
            <w:tcBorders>
              <w:bottom w:val="single" w:sz="5" w:space="0" w:color="D9D6D6"/>
            </w:tcBorders>
            <w:vAlign w:val="center"/>
          </w:tcPr>
          <w:p>
            <w:pPr>
              <w:spacing w:after="80"/>
            </w:pPr>
            <w:r>
              <w:rPr>
                <w:b/>
                <w:sz w:val="18"/>
              </w:rPr>
              <w:t xml:space="preserve">Days 3–5</w:t>
            </w:r>
          </w:p>
        </w:tc>
        <w:tc>
          <w:tcPr>
            <w:tcW w:w="7608" w:type="dxa"/>
            <w:tcBorders>
              <w:bottom w:val="single" w:sz="5" w:space="0" w:color="D9D6D6"/>
            </w:tcBorders>
            <w:vAlign w:val="center"/>
          </w:tcPr>
          <w:p>
            <w:pPr>
              <w:spacing w:after="80"/>
            </w:pPr>
            <w:r>
              <w:rPr>
                <w:sz w:val="18"/>
              </w:rPr>
              <w:t xml:space="preserve">Copywriting and first design draft (cover, visual direction and full page layouts).</w:t>
            </w:r>
          </w:p>
        </w:tc>
      </w:tr>
      <w:tr>
        <w:trPr>
          <w:cantSplit/>
          <w:jc w:val="center"/>
        </w:trPr>
        <w:tc>
          <w:tcPr>
            <w:tcW w:w="2400" w:type="dxa"/>
            <w:tcBorders>
              <w:bottom w:val="single" w:sz="5" w:space="0" w:color="D9D6D6"/>
            </w:tcBorders>
            <w:vAlign w:val="center"/>
          </w:tcPr>
          <w:p>
            <w:pPr>
              <w:spacing w:after="80"/>
            </w:pPr>
            <w:r>
              <w:rPr>
                <w:b/>
                <w:sz w:val="18"/>
              </w:rPr>
              <w:t xml:space="preserve">Days 6–8</w:t>
            </w:r>
          </w:p>
        </w:tc>
        <w:tc>
          <w:tcPr>
            <w:tcW w:w="7608" w:type="dxa"/>
            <w:tcBorders>
              <w:bottom w:val="single" w:sz="5" w:space="0" w:color="D9D6D6"/>
            </w:tcBorders>
            <w:vAlign w:val="center"/>
          </w:tcPr>
          <w:p>
            <w:pPr>
              <w:spacing w:after="80"/>
            </w:pPr>
            <w:r>
              <w:rPr>
                <w:sz w:val="18"/>
              </w:rPr>
              <w:t xml:space="preserve">Consolidated client feedback and revision rounds on content and design.</w:t>
            </w:r>
          </w:p>
        </w:tc>
      </w:tr>
      <w:tr>
        <w:trPr>
          <w:cantSplit/>
          <w:jc w:val="center"/>
        </w:trPr>
        <w:tc>
          <w:tcPr>
            <w:tcW w:w="2400" w:type="dxa"/>
            <w:tcBorders>
              <w:bottom w:val="single" w:sz="5" w:space="0" w:color="D9D6D6"/>
            </w:tcBorders>
            <w:vAlign w:val="center"/>
          </w:tcPr>
          <w:p>
            <w:pPr>
              <w:spacing w:after="80"/>
            </w:pPr>
            <w:r>
              <w:rPr>
                <w:b/>
                <w:sz w:val="18"/>
              </w:rPr>
              <w:t xml:space="preserve">Days 9–10</w:t>
            </w:r>
          </w:p>
        </w:tc>
        <w:tc>
          <w:tcPr>
            <w:tcW w:w="7608" w:type="dxa"/>
            <w:tcBorders>
              <w:bottom w:val="single" w:sz="5" w:space="0" w:color="D9D6D6"/>
            </w:tcBorders>
            <w:vAlign w:val="center"/>
          </w:tcPr>
          <w:p>
            <w:pPr>
              <w:spacing w:after="80"/>
            </w:pPr>
            <w:r>
              <w:rPr>
                <w:sz w:val="18"/>
              </w:rPr>
              <w:t xml:space="preserve">Final proofreading, artwork finalization and delivery of final files.</w:t>
            </w:r>
          </w:p>
        </w:tc>
      </w:tr>
    </w:tbl>
    <w:p>
      <w:pPr>
        <w:spacing w:after="200"/>
      </w:pPr>
      <w:r>
        <w:rPr>
          <w:color w:val="666666"/>
          <w:sz w:val="17"/>
        </w:rPr>
        <w:t xml:space="preserve">Timeframe starts upon receipt of the advance payment and the required content inputs.</w:t>
      </w:r>
    </w:p>
    <w:p>
      <w:pPr>
        <w:spacing w:after="100"/>
      </w:pPr>
      <w:r>
        <w:rPr>
          <w:b/>
          <w:color w:val="8E3D4D"/>
          <w:sz w:val="24"/>
        </w:rPr>
        <w:t xml:space="preserve">Client responsibilities</w:t>
      </w:r>
    </w:p>
    <w:p>
      <w:pPr>
        <w:spacing w:after="60"/>
        <w:ind w:left="259" w:hanging="173"/>
      </w:pPr>
      <w:r>
        <w:rPr>
          <w:sz w:val="18"/>
        </w:rPr>
        <w:t xml:space="preserve">•  Provide company information, business unit details, key figures and any existing profile material.</w:t>
      </w:r>
    </w:p>
    <w:p>
      <w:pPr>
        <w:spacing w:after="60"/>
        <w:ind w:left="259" w:hanging="173"/>
      </w:pPr>
      <w:r>
        <w:rPr>
          <w:sz w:val="18"/>
        </w:rPr>
        <w:t xml:space="preserve">•  Provide brand assets (logo, guidelines) and approved photographs of projects, facilities and leadership.</w:t>
      </w:r>
    </w:p>
    <w:p>
      <w:pPr>
        <w:spacing w:after="60"/>
        <w:ind w:left="259" w:hanging="173"/>
      </w:pPr>
      <w:r>
        <w:rPr>
          <w:sz w:val="18"/>
        </w:rPr>
        <w:t xml:space="preserve">•  Assign one focal person for consolidated feedback and approvals within one to two working days.</w:t>
      </w:r>
    </w:p>
    <w:p>
      <w:pPr>
        <w:spacing w:after="160"/>
      </w:pPr>
    </w:p>
    <w:p>
      <w:pPr>
        <w:spacing w:after="100"/>
      </w:pPr>
      <w:r>
        <w:rPr>
          <w:b/>
          <w:color w:val="8E3D4D"/>
          <w:sz w:val="24"/>
        </w:rPr>
        <w:t xml:space="preserve">Not included in the project fee</w:t>
      </w:r>
    </w:p>
    <w:p>
      <w:pPr>
        <w:spacing w:after="60"/>
        <w:ind w:left="259" w:hanging="173"/>
      </w:pPr>
      <w:r>
        <w:rPr>
          <w:sz w:val="18"/>
        </w:rPr>
        <w:t xml:space="preserve">•  Printing and binding; professional photography, videography or drone shoots.</w:t>
      </w:r>
    </w:p>
    <w:p>
      <w:pPr>
        <w:spacing w:after="60"/>
        <w:ind w:left="259" w:hanging="173"/>
      </w:pPr>
      <w:r>
        <w:rPr>
          <w:sz w:val="18"/>
        </w:rPr>
        <w:t xml:space="preserve">•  Paid stock images, translation into additional languages, new brand-identity or website development.</w:t>
      </w:r>
    </w:p>
    <w:p>
      <w:r>
        <w:br w:type="page"/>
      </w:r>
    </w:p>
    <w:p>
      <w:pPr>
        <w:spacing w:after="160"/>
      </w:pPr>
      <w:r>
        <w:rPr>
          <w:b/>
          <w:sz w:val="36"/>
        </w:rPr>
        <w:t xml:space="preserve">2. Professional Fee &amp; Payment Terms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32"/>
        <w:gridCol w:w="1656"/>
        <w:gridCol w:w="2088"/>
        <w:gridCol w:w="2232"/>
      </w:tblGrid>
      <w:tr>
        <w:trPr>
          <w:cantSplit/>
          <w:tblHeader/>
          <w:jc w:val="center"/>
        </w:trPr>
        <w:tc>
          <w:tcPr>
            <w:tcW w:w="4032" w:type="dxa"/>
            <w:shd w:val="clear" w:color="auto" w:fill="171717"/>
            <w:vAlign w:val="center"/>
          </w:tcPr>
          <w:p>
            <w:r>
              <w:rPr>
                <w:b/>
                <w:color w:val="FFFFFF"/>
                <w:sz w:val="17"/>
              </w:rPr>
              <w:t xml:space="preserve">DESCRIPTION</w:t>
            </w:r>
          </w:p>
        </w:tc>
        <w:tc>
          <w:tcPr>
            <w:tcW w:w="1656" w:type="dxa"/>
            <w:shd w:val="clear" w:color="auto" w:fill="171717"/>
            <w:vAlign w:val="center"/>
          </w:tcPr>
          <w:p>
            <w:r>
              <w:rPr>
                <w:b/>
                <w:color w:val="FFFFFF"/>
                <w:sz w:val="17"/>
              </w:rPr>
              <w:t xml:space="preserve">QTY</w:t>
            </w:r>
          </w:p>
        </w:tc>
        <w:tc>
          <w:tcPr>
            <w:tcW w:w="2088" w:type="dxa"/>
            <w:shd w:val="clear" w:color="auto" w:fill="171717"/>
            <w:vAlign w:val="center"/>
          </w:tcPr>
          <w:p>
            <w:r>
              <w:rPr>
                <w:b/>
                <w:color w:val="FFFFFF"/>
                <w:sz w:val="17"/>
              </w:rPr>
              <w:t xml:space="preserve">UNIT FEE</w:t>
            </w:r>
          </w:p>
        </w:tc>
        <w:tc>
          <w:tcPr>
            <w:tcW w:w="2232" w:type="dxa"/>
            <w:shd w:val="clear" w:color="auto" w:fill="171717"/>
            <w:vAlign w:val="center"/>
          </w:tcPr>
          <w:p>
            <w:r>
              <w:rPr>
                <w:b/>
                <w:color w:val="FFFFFF"/>
                <w:sz w:val="17"/>
              </w:rPr>
              <w:t xml:space="preserve">TOTAL</w:t>
            </w:r>
          </w:p>
        </w:tc>
      </w:tr>
      <w:tr>
        <w:trPr>
          <w:cantSplit/>
          <w:jc w:val="center"/>
        </w:trPr>
        <w:tc>
          <w:tcPr>
            <w:tcW w:w="4032" w:type="dxa"/>
            <w:tcBorders>
              <w:bottom w:val="single" w:sz="5" w:space="0" w:color="D9D6D6"/>
            </w:tcBorders>
            <w:vAlign w:val="center"/>
          </w:tcPr>
          <w:p>
            <w:pPr>
              <w:spacing w:after="100"/>
            </w:pPr>
            <w:r>
              <w:rPr>
                <w:b/>
                <w:sz w:val="19"/>
              </w:rPr>
              <w:t xml:space="preserve">Company profile content &amp; design development</w:t>
            </w:r>
          </w:p>
        </w:tc>
        <w:tc>
          <w:tcPr>
            <w:tcW w:w="1656" w:type="dxa"/>
            <w:tcBorders>
              <w:bottom w:val="single" w:sz="5" w:space="0" w:color="D9D6D6"/>
            </w:tcBorders>
            <w:vAlign w:val="center"/>
          </w:tcPr>
          <w:p>
            <w:pPr>
              <w:spacing w:after="100"/>
              <w:jc w:val="right"/>
            </w:pPr>
            <w:r>
              <w:rPr>
                <w:sz w:val="19"/>
              </w:rPr>
              <w:t xml:space="preserve">1 project</w:t>
            </w:r>
          </w:p>
        </w:tc>
        <w:tc>
          <w:tcPr>
            <w:tcW w:w="2088" w:type="dxa"/>
            <w:tcBorders>
              <w:bottom w:val="single" w:sz="5" w:space="0" w:color="D9D6D6"/>
            </w:tcBorders>
            <w:vAlign w:val="center"/>
          </w:tcPr>
          <w:p>
            <w:pPr>
              <w:spacing w:after="100"/>
              <w:jc w:val="right"/>
            </w:pPr>
            <w:r>
              <w:rPr>
                <w:sz w:val="19"/>
              </w:rPr>
              <w:t xml:space="preserve">ETB 60,000</w:t>
            </w:r>
          </w:p>
        </w:tc>
        <w:tc>
          <w:tcPr>
            <w:tcW w:w="2232" w:type="dxa"/>
            <w:tcBorders>
              <w:bottom w:val="single" w:sz="5" w:space="0" w:color="D9D6D6"/>
            </w:tcBorders>
            <w:vAlign w:val="center"/>
          </w:tcPr>
          <w:p>
            <w:pPr>
              <w:spacing w:after="100"/>
              <w:jc w:val="right"/>
            </w:pPr>
            <w:r>
              <w:rPr>
                <w:sz w:val="19"/>
              </w:rPr>
              <w:t xml:space="preserve">ETB 60,000</w:t>
            </w:r>
          </w:p>
        </w:tc>
      </w:tr>
      <w:tr>
        <w:trPr>
          <w:cantSplit/>
          <w:jc w:val="center"/>
        </w:trPr>
        <w:tc>
          <w:tcPr>
            <w:tcW w:w="4032" w:type="dxa"/>
            <w:tcBorders>
              <w:bottom w:val="single" w:sz="5" w:space="0" w:color="D9D6D6"/>
            </w:tcBorders>
            <w:vAlign w:val="center"/>
          </w:tcPr>
          <w:p>
            <w:pPr>
              <w:spacing w:after="100"/>
            </w:pPr>
            <w:r>
              <w:rPr>
                <w:b/>
                <w:sz w:val="19"/>
              </w:rPr>
              <w:t xml:space="preserve">VAT (15%)</w:t>
            </w:r>
          </w:p>
        </w:tc>
        <w:tc>
          <w:tcPr>
            <w:tcW w:w="1656" w:type="dxa"/>
            <w:tcBorders>
              <w:bottom w:val="single" w:sz="5" w:space="0" w:color="D9D6D6"/>
            </w:tcBorders>
            <w:vAlign w:val="center"/>
          </w:tcPr>
          <w:p>
            <w:pPr>
              <w:spacing w:after="100"/>
              <w:jc w:val="right"/>
            </w:pPr>
          </w:p>
        </w:tc>
        <w:tc>
          <w:tcPr>
            <w:tcW w:w="2088" w:type="dxa"/>
            <w:tcBorders>
              <w:bottom w:val="single" w:sz="5" w:space="0" w:color="D9D6D6"/>
            </w:tcBorders>
            <w:vAlign w:val="center"/>
          </w:tcPr>
          <w:p>
            <w:pPr>
              <w:spacing w:after="100"/>
              <w:jc w:val="right"/>
            </w:pPr>
          </w:p>
        </w:tc>
        <w:tc>
          <w:tcPr>
            <w:tcW w:w="2232" w:type="dxa"/>
            <w:tcBorders>
              <w:bottom w:val="single" w:sz="5" w:space="0" w:color="D9D6D6"/>
            </w:tcBorders>
            <w:vAlign w:val="center"/>
          </w:tcPr>
          <w:p>
            <w:pPr>
              <w:spacing w:after="100"/>
              <w:jc w:val="right"/>
            </w:pPr>
            <w:r>
              <w:rPr>
                <w:sz w:val="19"/>
              </w:rPr>
              <w:t xml:space="preserve">ETB 9,000</w:t>
            </w:r>
          </w:p>
        </w:tc>
      </w:tr>
      <w:tr>
        <w:trPr>
          <w:cantSplit/>
          <w:jc w:val="center"/>
        </w:trPr>
        <w:tc>
          <w:tcPr>
            <w:tcW w:w="4032" w:type="dxa"/>
            <w:tcBorders>
              <w:bottom w:val="single" w:sz="5" w:space="0" w:color="D9D6D6"/>
            </w:tcBorders>
            <w:shd w:val="clear" w:color="auto" w:fill="F3F1F1"/>
            <w:vAlign w:val="center"/>
          </w:tcPr>
          <w:p>
            <w:pPr>
              <w:spacing w:after="100"/>
            </w:pPr>
            <w:r>
              <w:rPr>
                <w:b/>
                <w:sz w:val="19"/>
              </w:rPr>
              <w:t xml:space="preserve">TOTAL PROJECT VALUE</w:t>
            </w:r>
          </w:p>
        </w:tc>
        <w:tc>
          <w:tcPr>
            <w:tcW w:w="1656" w:type="dxa"/>
            <w:tcBorders>
              <w:bottom w:val="single" w:sz="5" w:space="0" w:color="D9D6D6"/>
            </w:tcBorders>
            <w:shd w:val="clear" w:color="auto" w:fill="F3F1F1"/>
            <w:vAlign w:val="center"/>
          </w:tcPr>
          <w:p>
            <w:pPr>
              <w:spacing w:after="100"/>
              <w:jc w:val="right"/>
            </w:pPr>
          </w:p>
        </w:tc>
        <w:tc>
          <w:tcPr>
            <w:tcW w:w="2088" w:type="dxa"/>
            <w:tcBorders>
              <w:bottom w:val="single" w:sz="5" w:space="0" w:color="D9D6D6"/>
            </w:tcBorders>
            <w:shd w:val="clear" w:color="auto" w:fill="F3F1F1"/>
            <w:vAlign w:val="center"/>
          </w:tcPr>
          <w:p>
            <w:pPr>
              <w:spacing w:after="100"/>
              <w:jc w:val="right"/>
            </w:pPr>
          </w:p>
        </w:tc>
        <w:tc>
          <w:tcPr>
            <w:tcW w:w="2232" w:type="dxa"/>
            <w:tcBorders>
              <w:bottom w:val="single" w:sz="5" w:space="0" w:color="D9D6D6"/>
            </w:tcBorders>
            <w:shd w:val="clear" w:color="auto" w:fill="F3F1F1"/>
            <w:vAlign w:val="center"/>
          </w:tcPr>
          <w:p>
            <w:pPr>
              <w:spacing w:after="100"/>
              <w:jc w:val="right"/>
            </w:pPr>
            <w:r>
              <w:rPr>
                <w:b/>
                <w:sz w:val="19"/>
              </w:rPr>
              <w:t xml:space="preserve">ETB 69,000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/>
          <w:color w:val="8E3D4D"/>
          <w:sz w:val="24"/>
        </w:rPr>
        <w:t xml:space="preserve">Payment schedule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41"/>
        <w:gridCol w:w="2541"/>
        <w:gridCol w:w="2541"/>
        <w:gridCol w:w="2541"/>
      </w:tblGrid>
      <w:tr>
        <w:trPr>
          <w:cantSplit/>
          <w:tblHeader/>
          <w:jc w:val="center"/>
        </w:trPr>
        <w:tc>
          <w:tcPr>
            <w:tcW w:w="2541" w:type="dxa"/>
            <w:shd w:val="clear" w:color="auto" w:fill="8E3D4D"/>
            <w:vAlign w:val="center"/>
          </w:tcPr>
          <w:p>
            <w:r>
              <w:rPr>
                <w:b/>
                <w:color w:val="FFFFFF"/>
                <w:sz w:val="16"/>
              </w:rPr>
              <w:t xml:space="preserve">MILESTONE</w:t>
            </w:r>
          </w:p>
        </w:tc>
        <w:tc>
          <w:tcPr>
            <w:tcW w:w="2541" w:type="dxa"/>
            <w:shd w:val="clear" w:color="auto" w:fill="8E3D4D"/>
            <w:vAlign w:val="center"/>
          </w:tcPr>
          <w:p>
            <w:r>
              <w:rPr>
                <w:b/>
                <w:color w:val="FFFFFF"/>
                <w:sz w:val="16"/>
              </w:rPr>
              <w:t xml:space="preserve">FEE (BEFORE VAT)</w:t>
            </w:r>
          </w:p>
        </w:tc>
        <w:tc>
          <w:tcPr>
            <w:tcW w:w="2541" w:type="dxa"/>
            <w:shd w:val="clear" w:color="auto" w:fill="8E3D4D"/>
            <w:vAlign w:val="center"/>
          </w:tcPr>
          <w:p>
            <w:r>
              <w:rPr>
                <w:b/>
                <w:color w:val="FFFFFF"/>
                <w:sz w:val="16"/>
              </w:rPr>
              <w:t xml:space="preserve">VAT 15%</w:t>
            </w:r>
          </w:p>
        </w:tc>
        <w:tc>
          <w:tcPr>
            <w:tcW w:w="2541" w:type="dxa"/>
            <w:shd w:val="clear" w:color="auto" w:fill="8E3D4D"/>
            <w:vAlign w:val="center"/>
          </w:tcPr>
          <w:p>
            <w:r>
              <w:rPr>
                <w:b/>
                <w:color w:val="FFFFFF"/>
                <w:sz w:val="16"/>
              </w:rPr>
              <w:t xml:space="preserve">AMOUNT PAYABLE</w:t>
            </w:r>
          </w:p>
        </w:tc>
      </w:tr>
      <w:tr>
        <w:trPr>
          <w:cantSplit/>
          <w:jc w:val="center"/>
        </w:trPr>
        <w:tc>
          <w:tcPr>
            <w:tcW w:w="2541" w:type="dxa"/>
            <w:tcBorders>
              <w:bottom w:val="single" w:sz="5" w:space="0" w:color="D9D6D6"/>
            </w:tcBorders>
            <w:vAlign w:val="center"/>
          </w:tcPr>
          <w:p>
            <w:pPr>
              <w:spacing w:after="80"/>
            </w:pPr>
            <w:r>
              <w:rPr>
                <w:b/>
                <w:sz w:val="18"/>
              </w:rPr>
              <w:t xml:space="preserve">60% Advance</w:t>
            </w:r>
          </w:p>
        </w:tc>
        <w:tc>
          <w:tcPr>
            <w:tcW w:w="2541" w:type="dxa"/>
            <w:tcBorders>
              <w:bottom w:val="single" w:sz="5" w:space="0" w:color="D9D6D6"/>
            </w:tcBorders>
            <w:vAlign w:val="center"/>
          </w:tcPr>
          <w:p>
            <w:pPr>
              <w:spacing w:after="80"/>
              <w:jc w:val="right"/>
            </w:pPr>
            <w:r>
              <w:rPr>
                <w:sz w:val="18"/>
              </w:rPr>
              <w:t xml:space="preserve">36,000</w:t>
            </w:r>
          </w:p>
        </w:tc>
        <w:tc>
          <w:tcPr>
            <w:tcW w:w="2541" w:type="dxa"/>
            <w:tcBorders>
              <w:bottom w:val="single" w:sz="5" w:space="0" w:color="D9D6D6"/>
            </w:tcBorders>
            <w:vAlign w:val="center"/>
          </w:tcPr>
          <w:p>
            <w:pPr>
              <w:spacing w:after="80"/>
              <w:jc w:val="right"/>
            </w:pPr>
            <w:r>
              <w:rPr>
                <w:sz w:val="18"/>
              </w:rPr>
              <w:t xml:space="preserve">5,400</w:t>
            </w:r>
          </w:p>
        </w:tc>
        <w:tc>
          <w:tcPr>
            <w:tcW w:w="2541" w:type="dxa"/>
            <w:tcBorders>
              <w:bottom w:val="single" w:sz="5" w:space="0" w:color="D9D6D6"/>
            </w:tcBorders>
            <w:vAlign w:val="center"/>
          </w:tcPr>
          <w:p>
            <w:pPr>
              <w:spacing w:after="80"/>
              <w:jc w:val="right"/>
            </w:pPr>
            <w:r>
              <w:rPr>
                <w:b/>
                <w:sz w:val="18"/>
              </w:rPr>
              <w:t xml:space="preserve">41,400 ETB</w:t>
            </w:r>
          </w:p>
        </w:tc>
      </w:tr>
      <w:tr>
        <w:trPr>
          <w:cantSplit/>
          <w:jc w:val="center"/>
        </w:trPr>
        <w:tc>
          <w:tcPr>
            <w:tcW w:w="2541" w:type="dxa"/>
            <w:tcBorders>
              <w:bottom w:val="single" w:sz="5" w:space="0" w:color="D9D6D6"/>
            </w:tcBorders>
            <w:vAlign w:val="center"/>
          </w:tcPr>
          <w:p>
            <w:pPr>
              <w:spacing w:after="80"/>
            </w:pPr>
            <w:r>
              <w:rPr>
                <w:b/>
                <w:sz w:val="18"/>
              </w:rPr>
              <w:t xml:space="preserve">40% Balance</w:t>
            </w:r>
          </w:p>
        </w:tc>
        <w:tc>
          <w:tcPr>
            <w:tcW w:w="2541" w:type="dxa"/>
            <w:tcBorders>
              <w:bottom w:val="single" w:sz="5" w:space="0" w:color="D9D6D6"/>
            </w:tcBorders>
            <w:vAlign w:val="center"/>
          </w:tcPr>
          <w:p>
            <w:pPr>
              <w:spacing w:after="80"/>
              <w:jc w:val="right"/>
            </w:pPr>
            <w:r>
              <w:rPr>
                <w:sz w:val="18"/>
              </w:rPr>
              <w:t xml:space="preserve">24,000</w:t>
            </w:r>
          </w:p>
        </w:tc>
        <w:tc>
          <w:tcPr>
            <w:tcW w:w="2541" w:type="dxa"/>
            <w:tcBorders>
              <w:bottom w:val="single" w:sz="5" w:space="0" w:color="D9D6D6"/>
            </w:tcBorders>
            <w:vAlign w:val="center"/>
          </w:tcPr>
          <w:p>
            <w:pPr>
              <w:spacing w:after="80"/>
              <w:jc w:val="right"/>
            </w:pPr>
            <w:r>
              <w:rPr>
                <w:sz w:val="18"/>
              </w:rPr>
              <w:t xml:space="preserve">3,600</w:t>
            </w:r>
          </w:p>
        </w:tc>
        <w:tc>
          <w:tcPr>
            <w:tcW w:w="2541" w:type="dxa"/>
            <w:tcBorders>
              <w:bottom w:val="single" w:sz="5" w:space="0" w:color="D9D6D6"/>
            </w:tcBorders>
            <w:vAlign w:val="center"/>
          </w:tcPr>
          <w:p>
            <w:pPr>
              <w:spacing w:after="80"/>
              <w:jc w:val="right"/>
            </w:pPr>
            <w:r>
              <w:rPr>
                <w:b/>
                <w:sz w:val="18"/>
              </w:rPr>
              <w:t xml:space="preserve">27,600 ETB</w:t>
            </w:r>
          </w:p>
        </w:tc>
      </w:tr>
      <w:tr>
        <w:trPr>
          <w:cantSplit/>
          <w:jc w:val="center"/>
        </w:trPr>
        <w:tc>
          <w:tcPr>
            <w:tcW w:w="2541" w:type="dxa"/>
            <w:tcBorders>
              <w:bottom w:val="single" w:sz="5" w:space="0" w:color="D9D6D6"/>
            </w:tcBorders>
            <w:shd w:val="clear" w:color="auto" w:fill="F3F1F1"/>
            <w:vAlign w:val="center"/>
          </w:tcPr>
          <w:p>
            <w:pPr>
              <w:spacing w:after="80"/>
            </w:pPr>
            <w:r>
              <w:rPr>
                <w:b/>
                <w:sz w:val="18"/>
              </w:rPr>
              <w:t xml:space="preserve">Total</w:t>
            </w:r>
          </w:p>
        </w:tc>
        <w:tc>
          <w:tcPr>
            <w:tcW w:w="2541" w:type="dxa"/>
            <w:tcBorders>
              <w:bottom w:val="single" w:sz="5" w:space="0" w:color="D9D6D6"/>
            </w:tcBorders>
            <w:shd w:val="clear" w:color="auto" w:fill="F3F1F1"/>
            <w:vAlign w:val="center"/>
          </w:tcPr>
          <w:p>
            <w:pPr>
              <w:spacing w:after="80"/>
              <w:jc w:val="right"/>
            </w:pPr>
            <w:r>
              <w:rPr>
                <w:sz w:val="18"/>
              </w:rPr>
              <w:t xml:space="preserve">60,000</w:t>
            </w:r>
          </w:p>
        </w:tc>
        <w:tc>
          <w:tcPr>
            <w:tcW w:w="2541" w:type="dxa"/>
            <w:tcBorders>
              <w:bottom w:val="single" w:sz="5" w:space="0" w:color="D9D6D6"/>
            </w:tcBorders>
            <w:shd w:val="clear" w:color="auto" w:fill="F3F1F1"/>
            <w:vAlign w:val="center"/>
          </w:tcPr>
          <w:p>
            <w:pPr>
              <w:spacing w:after="80"/>
              <w:jc w:val="right"/>
            </w:pPr>
            <w:r>
              <w:rPr>
                <w:sz w:val="18"/>
              </w:rPr>
              <w:t xml:space="preserve">9,000</w:t>
            </w:r>
          </w:p>
        </w:tc>
        <w:tc>
          <w:tcPr>
            <w:tcW w:w="2541" w:type="dxa"/>
            <w:tcBorders>
              <w:bottom w:val="single" w:sz="5" w:space="0" w:color="D9D6D6"/>
            </w:tcBorders>
            <w:shd w:val="clear" w:color="auto" w:fill="F3F1F1"/>
            <w:vAlign w:val="center"/>
          </w:tcPr>
          <w:p>
            <w:pPr>
              <w:spacing w:after="80"/>
              <w:jc w:val="right"/>
            </w:pPr>
            <w:r>
              <w:rPr>
                <w:b/>
                <w:sz w:val="18"/>
              </w:rPr>
              <w:t xml:space="preserve">69,000 ETB</w:t>
            </w:r>
          </w:p>
        </w:tc>
      </w:tr>
    </w:tbl>
    <w:p>
      <w:pPr>
        <w:spacing w:after="160"/>
      </w:pPr>
    </w:p>
    <w:p>
      <w:pPr>
        <w:spacing w:after="100"/>
      </w:pPr>
      <w:r>
        <w:rPr>
          <w:b/>
          <w:color w:val="8E3D4D"/>
          <w:sz w:val="24"/>
        </w:rPr>
        <w:t xml:space="preserve">Payment terms</w:t>
      </w:r>
    </w:p>
    <w:p>
      <w:pPr>
        <w:spacing w:after="60"/>
        <w:ind w:left="259" w:hanging="173"/>
      </w:pPr>
      <w:r>
        <w:rPr>
          <w:sz w:val="18"/>
        </w:rPr>
        <w:t xml:space="preserve">•  60% advance payment (ETB 36,000 + VAT = ETB 41,400) is due upon acceptance of this quotation; work commences upon receipt of the advance.</w:t>
      </w:r>
    </w:p>
    <w:p>
      <w:pPr>
        <w:spacing w:after="60"/>
        <w:ind w:left="259" w:hanging="173"/>
      </w:pPr>
      <w:r>
        <w:rPr>
          <w:sz w:val="18"/>
        </w:rPr>
        <w:t xml:space="preserve">•  The remaining 40% balance (ETB 24,000 + VAT = ETB 27,600) is due upon final approval and before handover of the final files.</w:t>
      </w:r>
    </w:p>
    <w:p>
      <w:pPr>
        <w:spacing w:after="60"/>
        <w:ind w:left="259" w:hanging="173"/>
      </w:pPr>
      <w:r>
        <w:rPr>
          <w:sz w:val="18"/>
        </w:rPr>
        <w:t xml:space="preserve">•  The quoted professional fee is ETB 60,000 before VAT. Ethiopia’s standard 15% VAT is added to each invoice where applicable.</w:t>
      </w:r>
    </w:p>
    <w:p>
      <w:pPr>
        <w:spacing w:after="60"/>
        <w:ind w:left="259" w:hanging="173"/>
      </w:pPr>
      <w:r>
        <w:rPr>
          <w:sz w:val="18"/>
        </w:rPr>
        <w:t xml:space="preserve">•  Delays in client inputs or approvals may shift the delivery date without affecting the agreed fee.</w:t>
      </w:r>
    </w:p>
    <w:p>
      <w:pPr>
        <w:spacing w:after="60"/>
        <w:ind w:left="259" w:hanging="173"/>
      </w:pPr>
      <w:r>
        <w:rPr>
          <w:sz w:val="18"/>
        </w:rPr>
        <w:t xml:space="preserve">•  Any work outside the agreed scope will be estimated and approved separately before execution.</w:t>
      </w:r>
    </w:p>
    <w:p>
      <w:pPr>
        <w:spacing w:after="160"/>
      </w:pPr>
    </w:p>
    <w:p>
      <w:pPr>
        <w:spacing w:after="100"/>
      </w:pPr>
      <w:r>
        <w:rPr>
          <w:b/>
          <w:color w:val="8E3D4D"/>
          <w:sz w:val="24"/>
        </w:rPr>
        <w:t xml:space="preserve">Commercial conditions</w:t>
      </w:r>
    </w:p>
    <w:p>
      <w:pPr>
        <w:spacing w:after="60"/>
        <w:ind w:left="259" w:hanging="173"/>
      </w:pPr>
      <w:r>
        <w:rPr>
          <w:sz w:val="18"/>
        </w:rPr>
        <w:t xml:space="preserve">•  Revisions: up to two consolidated revision rounds; additional rounds or major changes in direction after approval may require re-scoping.</w:t>
      </w:r>
    </w:p>
    <w:p>
      <w:pPr>
        <w:spacing w:after="60"/>
        <w:ind w:left="259" w:hanging="173"/>
      </w:pPr>
      <w:r>
        <w:rPr>
          <w:sz w:val="18"/>
        </w:rPr>
        <w:t xml:space="preserve">•  Approval window: Tajir Holding should provide consolidated feedback within one to two working days where possible.</w:t>
      </w:r>
    </w:p>
    <w:p>
      <w:pPr>
        <w:spacing w:after="60"/>
        <w:ind w:left="259" w:hanging="173"/>
      </w:pPr>
      <w:r>
        <w:rPr>
          <w:sz w:val="18"/>
        </w:rPr>
        <w:t xml:space="preserve">•  Ownership: final approved files are handed over to Tajir Holding upon full settlement of the project fee.</w:t>
      </w:r>
    </w:p>
    <w:p>
      <w:pPr>
        <w:spacing w:after="60"/>
        <w:ind w:left="259" w:hanging="173"/>
      </w:pPr>
      <w:r>
        <w:rPr>
          <w:sz w:val="18"/>
        </w:rPr>
        <w:t xml:space="preserve">•  Quotation validity: 15 calendar days from the quotation date.</w:t>
      </w:r>
    </w:p>
    <w:p>
      <w:pPr>
        <w:spacing w:after="300"/>
      </w:pPr>
    </w:p>
    <w:p>
      <w:pPr>
        <w:spacing w:after="140"/>
      </w:pPr>
      <w:r>
        <w:rPr>
          <w:b/>
          <w:color w:val="8E3D4D"/>
          <w:sz w:val="24"/>
        </w:rPr>
        <w:t xml:space="preserve">Acceptance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083"/>
        <w:gridCol w:w="5083"/>
      </w:tblGrid>
      <w:tr>
        <w:trPr>
          <w:cantSplit/>
          <w:jc w:val="center"/>
        </w:trPr>
        <w:tc>
          <w:tcPr>
            <w:tcW w:w="5083" w:type="dxa"/>
            <w:tcBorders>
              <w:top w:val="single" w:sz="4" w:space="0" w:color="D9D6D6"/>
              <w:left w:val="single" w:sz="4" w:space="0" w:color="D9D6D6"/>
              <w:bottom w:val="single" w:sz="4" w:space="0" w:color="D9D6D6"/>
              <w:right w:val="single" w:sz="4" w:space="0" w:color="D9D6D6"/>
            </w:tcBorders>
            <w:shd w:val="clear" w:color="auto" w:fill="F3F1F1"/>
            <w:vAlign w:val="center"/>
          </w:tcPr>
          <w:p>
            <w:pPr>
              <w:spacing w:after="100"/>
            </w:pPr>
            <w:r>
              <w:rPr>
                <w:b/>
                <w:sz w:val="18"/>
              </w:rPr>
              <w:t xml:space="preserve">FOR TAJIR HOLDING</w:t>
            </w:r>
          </w:p>
        </w:tc>
        <w:tc>
          <w:tcPr>
            <w:tcW w:w="5083" w:type="dxa"/>
            <w:tcBorders>
              <w:top w:val="single" w:sz="4" w:space="0" w:color="D9D6D6"/>
              <w:left w:val="single" w:sz="4" w:space="0" w:color="D9D6D6"/>
              <w:bottom w:val="single" w:sz="4" w:space="0" w:color="D9D6D6"/>
              <w:right w:val="single" w:sz="4" w:space="0" w:color="D9D6D6"/>
            </w:tcBorders>
            <w:shd w:val="clear" w:color="auto" w:fill="F3F1F1"/>
            <w:vAlign w:val="center"/>
          </w:tcPr>
          <w:p>
            <w:pPr>
              <w:spacing w:after="100"/>
            </w:pPr>
            <w:r>
              <w:rPr>
                <w:b/>
                <w:sz w:val="18"/>
              </w:rPr>
              <w:t xml:space="preserve">FOR RHODONITE</w:t>
            </w:r>
          </w:p>
        </w:tc>
      </w:tr>
      <w:tr>
        <w:trPr>
          <w:cantSplit/>
          <w:jc w:val="center"/>
        </w:trPr>
        <w:tc>
          <w:tcPr>
            <w:tcW w:w="5083" w:type="dxa"/>
            <w:tcBorders>
              <w:top w:val="single" w:sz="4" w:space="0" w:color="D9D6D6"/>
              <w:left w:val="single" w:sz="4" w:space="0" w:color="D9D6D6"/>
              <w:bottom w:val="single" w:sz="4" w:space="0" w:color="D9D6D6"/>
              <w:right w:val="single" w:sz="4" w:space="0" w:color="D9D6D6"/>
            </w:tcBorders>
            <w:vAlign w:val="center"/>
          </w:tcPr>
          <w:p>
            <w:pPr>
              <w:spacing w:after="100"/>
            </w:pPr>
            <w:r>
              <w:rPr>
                <w:sz w:val="18"/>
              </w:rPr>
              <w:t xml:space="preserve"/>
            </w:r>
            <w:r>
              <w:rPr>
                <w:sz w:val="18"/>
              </w:rPr>
              <w:br/>
              <w:t xml:space="preserve">Name / Title: ______________________________</w:t>
            </w:r>
            <w:r>
              <w:rPr>
                <w:sz w:val="18"/>
              </w:rPr>
              <w:br/>
              <w:t xml:space="preserve"/>
            </w:r>
            <w:r>
              <w:rPr>
                <w:sz w:val="18"/>
              </w:rPr>
              <w:br/>
              <w:t xml:space="preserve">Signature: __________________________________</w:t>
            </w:r>
          </w:p>
        </w:tc>
        <w:tc>
          <w:tcPr>
            <w:tcW w:w="5083" w:type="dxa"/>
            <w:tcBorders>
              <w:top w:val="single" w:sz="4" w:space="0" w:color="D9D6D6"/>
              <w:left w:val="single" w:sz="4" w:space="0" w:color="D9D6D6"/>
              <w:bottom w:val="single" w:sz="4" w:space="0" w:color="D9D6D6"/>
              <w:right w:val="single" w:sz="4" w:space="0" w:color="D9D6D6"/>
            </w:tcBorders>
            <w:vAlign w:val="center"/>
          </w:tcPr>
          <w:p>
            <w:pPr>
              <w:spacing w:after="100"/>
            </w:pPr>
            <w:r>
              <w:rPr>
                <w:sz w:val="18"/>
              </w:rPr>
              <w:t xml:space="preserve"/>
            </w:r>
            <w:r>
              <w:rPr>
                <w:sz w:val="18"/>
              </w:rPr>
              <w:br/>
              <w:t xml:space="preserve">Name / Title: ______________________________</w:t>
            </w:r>
            <w:r>
              <w:rPr>
                <w:sz w:val="18"/>
              </w:rPr>
              <w:br/>
              <w:t xml:space="preserve"/>
            </w:r>
            <w:r>
              <w:rPr>
                <w:sz w:val="18"/>
              </w:rPr>
              <w:br/>
              <w:t xml:space="preserve">Signature: __________________________________</w:t>
            </w:r>
          </w:p>
        </w:tc>
      </w:tr>
      <w:tr>
        <w:trPr>
          <w:cantSplit/>
          <w:jc w:val="center"/>
        </w:trPr>
        <w:tc>
          <w:tcPr>
            <w:tcW w:w="5083" w:type="dxa"/>
            <w:tcBorders>
              <w:top w:val="single" w:sz="4" w:space="0" w:color="D9D6D6"/>
              <w:left w:val="single" w:sz="4" w:space="0" w:color="D9D6D6"/>
              <w:bottom w:val="single" w:sz="4" w:space="0" w:color="D9D6D6"/>
              <w:right w:val="single" w:sz="4" w:space="0" w:color="D9D6D6"/>
            </w:tcBorders>
            <w:vAlign w:val="center"/>
          </w:tcPr>
          <w:p>
            <w:pPr>
              <w:spacing w:after="100"/>
            </w:pPr>
            <w:r>
              <w:rPr>
                <w:sz w:val="18"/>
              </w:rPr>
              <w:t xml:space="preserve">Date: ______________________________________</w:t>
            </w:r>
          </w:p>
        </w:tc>
        <w:tc>
          <w:tcPr>
            <w:tcW w:w="5083" w:type="dxa"/>
            <w:tcBorders>
              <w:top w:val="single" w:sz="4" w:space="0" w:color="D9D6D6"/>
              <w:left w:val="single" w:sz="4" w:space="0" w:color="D9D6D6"/>
              <w:bottom w:val="single" w:sz="4" w:space="0" w:color="D9D6D6"/>
              <w:right w:val="single" w:sz="4" w:space="0" w:color="D9D6D6"/>
            </w:tcBorders>
            <w:vAlign w:val="center"/>
          </w:tcPr>
          <w:p>
            <w:pPr>
              <w:spacing w:after="100"/>
            </w:pPr>
            <w:r>
              <w:rPr>
                <w:sz w:val="18"/>
              </w:rPr>
              <w:t xml:space="preserve">Date: ______________________________________</w:t>
            </w:r>
          </w:p>
        </w:tc>
      </w:tr>
    </w:tbl>
    <w:p/>
    <w:sectPr w:rsidR="00C10C3D" w:rsidSect="00034616">
      <w:headerReference w:type="default" r:id="rId8"/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E74CC" w14:textId="77777777" w:rsidR="00C10C3D" w:rsidRDefault="00C10C3D">
      <w:pPr>
        <w:spacing w:after="0" w:line="240" w:lineRule="auto"/>
      </w:pPr>
      <w:r>
        <w:separator/>
      </w:r>
    </w:p>
  </w:endnote>
  <w:endnote w:type="continuationSeparator" w:id="0">
    <w:p w14:paraId="1FE7A5FD" w14:textId="77777777" w:rsidR="00C10C3D" w:rsidRDefault="00C10C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3C075" w14:textId="77777777" w:rsidR="00744F1D" w:rsidRDefault="00000000">
    <w:pPr>
      <w:pStyle w:val="Footer"/>
      <w:jc w:val="center"/>
    </w:pPr>
    <w:r>
      <w:rPr>
        <w:color w:val="666666"/>
        <w:sz w:val="16"/>
      </w:rPr>
      <w:t xml:space="preserve">Tajir Holding — Company Profile Content &amp; Design  |  Rhodonite  |  October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30A66" w14:textId="77777777" w:rsidR="00C10C3D" w:rsidRDefault="00C10C3D">
      <w:pPr>
        <w:spacing w:after="0" w:line="240" w:lineRule="auto"/>
      </w:pPr>
      <w:r>
        <w:separator/>
      </w:r>
    </w:p>
  </w:footnote>
  <w:footnote w:type="continuationSeparator" w:id="0">
    <w:p w14:paraId="3653F14E" w14:textId="77777777" w:rsidR="00C10C3D" w:rsidRDefault="00C10C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B81BD" w14:textId="77777777" w:rsidR="00744F1D" w:rsidRDefault="00000000">
    <w:pPr>
      <w:pStyle w:val="Header"/>
      <w:jc w:val="right"/>
    </w:pPr>
    <w:proofErr w:type="gramStart"/>
    <w:r>
      <w:rPr>
        <w:b/>
        <w:color w:val="666666"/>
        <w:sz w:val="16"/>
      </w:rPr>
      <w:t>RHODONITE  /</w:t>
    </w:r>
    <w:proofErr w:type="gramEnd"/>
    <w:r>
      <w:rPr>
        <w:b/>
        <w:color w:val="666666"/>
        <w:sz w:val="16"/>
      </w:rPr>
      <w:t xml:space="preserve">  COMMERCIAL QUOTATION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8290650">
    <w:abstractNumId w:val="8"/>
  </w:num>
  <w:num w:numId="2" w16cid:durableId="223679745">
    <w:abstractNumId w:val="6"/>
  </w:num>
  <w:num w:numId="3" w16cid:durableId="791746470">
    <w:abstractNumId w:val="5"/>
  </w:num>
  <w:num w:numId="4" w16cid:durableId="344790695">
    <w:abstractNumId w:val="4"/>
  </w:num>
  <w:num w:numId="5" w16cid:durableId="756756959">
    <w:abstractNumId w:val="7"/>
  </w:num>
  <w:num w:numId="6" w16cid:durableId="890773898">
    <w:abstractNumId w:val="3"/>
  </w:num>
  <w:num w:numId="7" w16cid:durableId="1141775039">
    <w:abstractNumId w:val="2"/>
  </w:num>
  <w:num w:numId="8" w16cid:durableId="1806391917">
    <w:abstractNumId w:val="1"/>
  </w:num>
  <w:num w:numId="9" w16cid:durableId="1531525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2ED3"/>
    <w:rsid w:val="00744F1D"/>
    <w:rsid w:val="00AA1D8D"/>
    <w:rsid w:val="00B47730"/>
    <w:rsid w:val="00C10C3D"/>
    <w:rsid w:val="00CB0664"/>
    <w:rsid w:val="00E961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34FF527-0D48-476C-B5C7-F1E7CFCC9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171717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8E3D4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1245</Words>
  <Characters>7097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Tajir Holding Company Profile Quotation</dc:title>
  <dc:subject>90-Day Social Media Management &amp; Content Execution</dc:subject>
  <dc:creator>Rhodonite</dc:creator>
  <cp:keywords>FIAM, Rhodonite, social media, retainer, quotation</cp:keywords>
  <dc:description>generated by python-docx</dc:description>
  <cp:lastModifiedBy>Beno Samuel</cp:lastModifiedBy>
  <cp:revision>2</cp:revision>
  <dcterms:created xsi:type="dcterms:W3CDTF">2013-12-23T23:15:00Z</dcterms:created>
  <dcterms:modified xsi:type="dcterms:W3CDTF">2026-09-02T02:48:00Z</dcterms:modified>
  <cp:category/>
</cp:coreProperties>
</file>