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Supply Group — Technology Discovery Notes</w:t>
      </w:r>
    </w:p>
    <w:p>
      <w:r>
        <w:t>Prepared for the Aberdeen Advisors technology strategy engagement. Consolidated notes from leadership interviews and functional deep-dives. Fictional content for demonstration purposes.</w:t>
      </w:r>
    </w:p>
    <w:p>
      <w:pPr>
        <w:pStyle w:val="Heading1"/>
      </w:pPr>
      <w:r>
        <w:t>1. Strategic context</w:t>
      </w:r>
    </w:p>
    <w:p>
      <w:r>
        <w:t>Our primary objective is to grow revenue in the core distribution channel by 15% over the next three years, and the board has been clear that this must not come at the expense of margin.</w:t>
      </w:r>
    </w:p>
    <w:p>
      <w:r>
        <w:t>A second stated goal is to exceed the profit target every year of the plan, which means the technology programme has to fund itself from operating savings wherever possible.</w:t>
      </w:r>
    </w:p>
    <w:p>
      <w:r>
        <w:t>The executive team also aims to reduce operational risk exposure across the distribution network following the incident in 2024.</w:t>
      </w:r>
    </w:p>
    <w:p>
      <w:pPr>
        <w:pStyle w:val="Heading1"/>
      </w:pPr>
      <w:r>
        <w:t>2. Current state observations</w:t>
      </w:r>
    </w:p>
    <w:p>
      <w:r>
        <w:t>There is no enterprise data governance programme, and no data classification policy exists. Reporting is produced manually by three separate teams, each using a different extract, and the business regularly receives competing answers to the same question.</w:t>
      </w:r>
    </w:p>
    <w:p>
      <w:r>
        <w:t>The warehouse management system cannot support real-time replenishment across the 8 distribution sites, and planners rely on spreadsheets that are rebuilt each week.</w:t>
      </w:r>
    </w:p>
    <w:p>
      <w:r>
        <w:t>Integration between core platforms is predominantly overnight file transfer. There is no integration inventory, no monitoring, and no consistent error handling, so failures are invisible until a downstream system breaks.</w:t>
      </w:r>
    </w:p>
    <w:p>
      <w:r>
        <w:t>Master data is fragmented across three product information instances with no single source of truth, and supplier onboarding remains a manual, spreadsheet-driven process that takes 6 weeks on average.</w:t>
      </w:r>
    </w:p>
    <w:p>
      <w:r>
        <w:t>The identity platform is fragmented, with no single sign-on and inconsistent access controls across 14 systems.</w:t>
      </w:r>
    </w:p>
    <w:p>
      <w:pPr>
        <w:pStyle w:val="Heading1"/>
      </w:pPr>
      <w:r>
        <w:t>3. Sequencing constraints</w:t>
      </w:r>
    </w:p>
    <w:p>
      <w:r>
        <w:t>The identity and access management platform must be complete before the supplier portal can launch, because the portal has no independent authentication capability.</w:t>
      </w:r>
    </w:p>
    <w:p>
      <w:r>
        <w:t>Integration rationalisation is a prerequisite for the ERP programme; the current batch model cannot support the real-time requirements of the phase two modules.</w:t>
      </w:r>
    </w:p>
    <w:p>
      <w:r>
        <w:t>The master data foundation must be in place before any analytics activation work can produce trustworthy output.</w:t>
      </w:r>
    </w:p>
    <w:p>
      <w:pPr>
        <w:pStyle w:val="Heading1"/>
      </w:pPr>
      <w:r>
        <w:t>4. Investment discussion</w:t>
      </w:r>
    </w:p>
    <w:p>
      <w:r>
        <w:t>Finance has indicated a budget of $2.4m for the ERP programme in the coming financial year, subject to board approval of the wider roadmap.</w:t>
      </w:r>
    </w:p>
    <w:p>
      <w:r>
        <w:t>The security remediation work was previously scoped at approximately $850k of one-time cost, with a recurring operating cost of around $95,000 per annum once the tooling is fully deployed.</w:t>
      </w:r>
    </w:p>
    <w:p>
      <w:r>
        <w:t>Consolidating the three product information instances is expected to deliver savings of $340k annually through reduced manual reconciliation and faster supplier onboarding.</w:t>
      </w:r>
    </w:p>
    <w:p>
      <w:r>
        <w:t>Avoided cost from retiring the legacy integration estate is estimated at $480,000 per year.</w:t>
      </w:r>
    </w:p>
    <w:p>
      <w:pPr>
        <w:pStyle w:val="Heading1"/>
      </w:pPr>
      <w:r>
        <w:t>5. Risks and watch-outs</w:t>
      </w:r>
    </w:p>
    <w:p>
      <w:r>
        <w:t>A prior ransomware incident exposed a significant risk of operational outage across all 8 distribution sites, and the incident response plan has still not been tested or formally approved.</w:t>
      </w:r>
    </w:p>
    <w:p>
      <w:r>
        <w:t>There is a key-person risk on the core platform: a single systems programmer holds the operating knowledge, with no documented runbooks and no succession plan in place.</w:t>
      </w:r>
    </w:p>
    <w:p>
      <w:r>
        <w:t>Thirteen open technology roles constrain delivery capacity, and two director-level vacancies have remained unfilled for over 9 months.</w:t>
      </w:r>
    </w:p>
    <w:p>
      <w:r>
        <w:t>Deferring the device refresh concentrates capital risk into a single budget year, as multiple systems reach end of life simultaneously in 2027.</w:t>
      </w:r>
    </w:p>
    <w:p>
      <w:pPr>
        <w:pStyle w:val="Heading1"/>
      </w:pPr>
      <w:r>
        <w:t>6. Next steps</w:t>
      </w:r>
    </w:p>
    <w:p>
      <w:r>
        <w:t>Aberdeen will consolidate these observations into the maturity assessment and the opportunity backlog, then score and sequence the resulting initiatives with the leadership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