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2540"/>
          <w:sz w:val="27"/>
        </w:rPr>
        <w:t>MIT ACADEMY OF ENGINEERING, PUNE</w:t>
      </w:r>
    </w:p>
    <w:p>
      <w:pPr>
        <w:spacing w:before="0" w:after="80"/>
        <w:jc w:val="center"/>
      </w:pPr>
      <w:r>
        <w:rPr>
          <w:rFonts w:ascii="Arial" w:hAnsi="Arial"/>
          <w:color w:val="475569"/>
          <w:sz w:val="19"/>
        </w:rPr>
        <w:t>School of Computer Engineering | Academic Year 2026–27</w:t>
        <w:br/>
        <w:t>Course: Generative Artificial Intelligence Lab (Course Code: 2304422L)</w:t>
      </w:r>
    </w:p>
    <w:tbl>
      <w:tblPr>
        <w:tblW w:type="auto" w:w="0"/>
        <w:jc w:val="center"/>
        <w:tblLook w:firstColumn="1" w:firstRow="1" w:lastColumn="0" w:lastRow="0" w:noHBand="0" w:noVBand="1" w:val="04A0"/>
      </w:tblPr>
      <w:tblGrid>
        <w:gridCol w:w="2520"/>
        <w:gridCol w:w="2520"/>
        <w:gridCol w:w="2520"/>
        <w:gridCol w:w="2520"/>
      </w:tblGrid>
      <w:tr>
        <w:tc>
          <w:tcPr>
            <w:tcW w:type="dxa" w:w="2520"/>
            <w:shd w:fill="F8FAFC"/>
            <w:tcMar>
              <w:top w:w="25" w:type="dxa"/>
              <w:bottom w:w="25" w:type="dxa"/>
              <w:left w:w="50" w:type="dxa"/>
              <w:right w:w="50" w:type="dxa"/>
            </w:tcMar>
          </w:tcPr>
          <w:p>
            <w:r>
              <w:rPr>
                <w:rFonts w:ascii="Arial" w:hAnsi="Arial"/>
                <w:b/>
                <w:color w:val="0F2540"/>
                <w:sz w:val="16"/>
              </w:rPr>
              <w:t>Student Name</w:t>
            </w:r>
          </w:p>
        </w:tc>
        <w:tc>
          <w:tcPr>
            <w:tcW w:type="dxa" w:w="2520"/>
            <w:shd w:fill="FFFFFF"/>
            <w:tcMar>
              <w:top w:w="25" w:type="dxa"/>
              <w:bottom w:w="25" w:type="dxa"/>
              <w:left w:w="50" w:type="dxa"/>
              <w:right w:w="50" w:type="dxa"/>
            </w:tcMar>
          </w:tcPr>
          <w:p>
            <w:r>
              <w:rPr>
                <w:rFonts w:ascii="Arial" w:hAnsi="Arial"/>
                <w:color w:val="212B36"/>
                <w:sz w:val="16"/>
              </w:rPr>
              <w:t>Abhay Bhise</w:t>
            </w:r>
          </w:p>
        </w:tc>
        <w:tc>
          <w:tcPr>
            <w:tcW w:type="dxa" w:w="2520"/>
            <w:shd w:fill="F8FAFC"/>
            <w:tcMar>
              <w:top w:w="25" w:type="dxa"/>
              <w:bottom w:w="25" w:type="dxa"/>
              <w:left w:w="50" w:type="dxa"/>
              <w:right w:w="50" w:type="dxa"/>
            </w:tcMar>
          </w:tcPr>
          <w:p>
            <w:r>
              <w:rPr>
                <w:rFonts w:ascii="Arial" w:hAnsi="Arial"/>
                <w:b/>
                <w:color w:val="0F2540"/>
                <w:sz w:val="16"/>
              </w:rPr>
              <w:t>PRN</w:t>
            </w:r>
          </w:p>
        </w:tc>
        <w:tc>
          <w:tcPr>
            <w:tcW w:type="dxa" w:w="2520"/>
            <w:shd w:fill="FFFFFF"/>
            <w:tcMar>
              <w:top w:w="25" w:type="dxa"/>
              <w:bottom w:w="25" w:type="dxa"/>
              <w:left w:w="50" w:type="dxa"/>
              <w:right w:w="50" w:type="dxa"/>
            </w:tcMar>
          </w:tcPr>
          <w:p>
            <w:r>
              <w:rPr>
                <w:rFonts w:ascii="Arial" w:hAnsi="Arial"/>
                <w:color w:val="212B36"/>
                <w:sz w:val="16"/>
              </w:rPr>
              <w:t>202402040016</w:t>
            </w:r>
          </w:p>
        </w:tc>
      </w:tr>
      <w:tr>
        <w:tc>
          <w:tcPr>
            <w:tcW w:type="dxa" w:w="2520"/>
            <w:shd w:fill="F8FAFC"/>
            <w:tcMar>
              <w:top w:w="25" w:type="dxa"/>
              <w:bottom w:w="25" w:type="dxa"/>
              <w:left w:w="50" w:type="dxa"/>
              <w:right w:w="50" w:type="dxa"/>
            </w:tcMar>
          </w:tcPr>
          <w:p>
            <w:r>
              <w:rPr>
                <w:rFonts w:ascii="Arial" w:hAnsi="Arial"/>
                <w:b/>
                <w:color w:val="0F2540"/>
                <w:sz w:val="16"/>
              </w:rPr>
              <w:t>Academic Year</w:t>
            </w:r>
          </w:p>
        </w:tc>
        <w:tc>
          <w:tcPr>
            <w:tcW w:type="dxa" w:w="2520"/>
            <w:shd w:fill="FFFFFF"/>
            <w:tcMar>
              <w:top w:w="25" w:type="dxa"/>
              <w:bottom w:w="25" w:type="dxa"/>
              <w:left w:w="50" w:type="dxa"/>
              <w:right w:w="50" w:type="dxa"/>
            </w:tcMar>
          </w:tcPr>
          <w:p>
            <w:r>
              <w:rPr>
                <w:rFonts w:ascii="Arial" w:hAnsi="Arial"/>
                <w:color w:val="212B36"/>
                <w:sz w:val="16"/>
              </w:rPr>
              <w:t>Final Year B.Tech (Sem VII)</w:t>
            </w:r>
          </w:p>
        </w:tc>
        <w:tc>
          <w:tcPr>
            <w:tcW w:type="dxa" w:w="2520"/>
            <w:shd w:fill="F8FAFC"/>
            <w:tcMar>
              <w:top w:w="25" w:type="dxa"/>
              <w:bottom w:w="25" w:type="dxa"/>
              <w:left w:w="50" w:type="dxa"/>
              <w:right w:w="50" w:type="dxa"/>
            </w:tcMar>
          </w:tcPr>
          <w:p>
            <w:r>
              <w:rPr>
                <w:rFonts w:ascii="Arial" w:hAnsi="Arial"/>
                <w:b/>
                <w:color w:val="0F2540"/>
                <w:sz w:val="16"/>
              </w:rPr>
              <w:t>Batch</w:t>
            </w:r>
          </w:p>
        </w:tc>
        <w:tc>
          <w:tcPr>
            <w:tcW w:type="dxa" w:w="2520"/>
            <w:shd w:fill="FFFFFF"/>
            <w:tcMar>
              <w:top w:w="25" w:type="dxa"/>
              <w:bottom w:w="25" w:type="dxa"/>
              <w:left w:w="50" w:type="dxa"/>
              <w:right w:w="50" w:type="dxa"/>
            </w:tcMar>
          </w:tcPr>
          <w:p>
            <w:r>
              <w:rPr>
                <w:rFonts w:ascii="Arial" w:hAnsi="Arial"/>
                <w:color w:val="212B36"/>
                <w:sz w:val="16"/>
              </w:rPr>
              <w:t>GENAI3</w:t>
            </w:r>
          </w:p>
        </w:tc>
      </w:tr>
      <w:tr>
        <w:tc>
          <w:tcPr>
            <w:tcW w:type="dxa" w:w="2520"/>
            <w:shd w:fill="F8FAFC"/>
            <w:tcMar>
              <w:top w:w="25" w:type="dxa"/>
              <w:bottom w:w="25" w:type="dxa"/>
              <w:left w:w="50" w:type="dxa"/>
              <w:right w:w="50" w:type="dxa"/>
            </w:tcMar>
          </w:tcPr>
          <w:p>
            <w:r>
              <w:rPr>
                <w:rFonts w:ascii="Arial" w:hAnsi="Arial"/>
                <w:b/>
                <w:color w:val="0F2540"/>
                <w:sz w:val="16"/>
              </w:rPr>
              <w:t>Subject Teacher</w:t>
            </w:r>
          </w:p>
        </w:tc>
        <w:tc>
          <w:tcPr>
            <w:tcW w:type="dxa" w:w="2520"/>
            <w:shd w:fill="FFFFFF"/>
            <w:tcMar>
              <w:top w:w="25" w:type="dxa"/>
              <w:bottom w:w="25" w:type="dxa"/>
              <w:left w:w="50" w:type="dxa"/>
              <w:right w:w="50" w:type="dxa"/>
            </w:tcMar>
          </w:tcPr>
          <w:p>
            <w:r>
              <w:rPr>
                <w:rFonts w:ascii="Arial" w:hAnsi="Arial"/>
                <w:color w:val="212B36"/>
                <w:sz w:val="16"/>
              </w:rPr>
              <w:t>Mrs. Savita Mane</w:t>
            </w:r>
          </w:p>
        </w:tc>
        <w:tc>
          <w:tcPr>
            <w:tcW w:type="dxa" w:w="2520"/>
            <w:shd w:fill="F8FAFC"/>
            <w:tcMar>
              <w:top w:w="25" w:type="dxa"/>
              <w:bottom w:w="25" w:type="dxa"/>
              <w:left w:w="50" w:type="dxa"/>
              <w:right w:w="50" w:type="dxa"/>
            </w:tcMar>
          </w:tcPr>
          <w:p>
            <w:r>
              <w:rPr>
                <w:rFonts w:ascii="Arial" w:hAnsi="Arial"/>
                <w:b/>
                <w:color w:val="0F2540"/>
                <w:sz w:val="16"/>
              </w:rPr>
              <w:t>Submission Date</w:t>
            </w:r>
          </w:p>
        </w:tc>
        <w:tc>
          <w:tcPr>
            <w:tcW w:type="dxa" w:w="2520"/>
            <w:shd w:fill="FFFFFF"/>
            <w:tcMar>
              <w:top w:w="25" w:type="dxa"/>
              <w:bottom w:w="25" w:type="dxa"/>
              <w:left w:w="50" w:type="dxa"/>
              <w:right w:w="50" w:type="dxa"/>
            </w:tcMar>
          </w:tcPr>
          <w:p>
            <w:r>
              <w:rPr>
                <w:rFonts w:ascii="Arial" w:hAnsi="Arial"/>
                <w:color w:val="212B36"/>
                <w:sz w:val="16"/>
              </w:rPr>
              <w:t>16 October 2026</w:t>
            </w:r>
          </w:p>
        </w:tc>
      </w:tr>
    </w:tbl>
    <w:p>
      <w:pPr>
        <w:spacing w:after="40"/>
      </w:pPr>
    </w:p>
    <w:tbl>
      <w:tblPr>
        <w:tblW w:type="auto" w:w="0"/>
        <w:jc w:val="center"/>
        <w:tblLook w:firstColumn="1" w:firstRow="1" w:lastColumn="0" w:lastRow="0" w:noHBand="0" w:noVBand="1" w:val="04A0"/>
      </w:tblPr>
      <w:tblGrid>
        <w:gridCol w:w="10080"/>
      </w:tblGrid>
      <w:tr>
        <w:tc>
          <w:tcPr>
            <w:tcW w:type="dxa" w:w="10080"/>
            <w:shd w:fill="EFF6FF"/>
            <w:tcMar>
              <w:top w:w="35" w:type="dxa"/>
              <w:bottom w:w="35" w:type="dxa"/>
              <w:left w:w="70" w:type="dxa"/>
              <w:right w:w="70" w:type="dxa"/>
            </w:tcMar>
            <w:tcBorders>
              <w:top w:val="none"/>
              <w:left w:val="single" w:sz="14" w:space="0" w:color="0F2540"/>
              <w:bottom w:val="none"/>
              <w:right w:val="none"/>
            </w:tcBorders>
          </w:tcPr>
          <w:p>
            <w:pPr>
              <w:spacing w:before="0" w:after="40"/>
            </w:pPr>
            <w:r>
              <w:rPr>
                <w:rFonts w:ascii="Arial" w:hAnsi="Arial"/>
                <w:b/>
                <w:color w:val="0F2540"/>
                <w:sz w:val="17"/>
              </w:rPr>
              <w:t>LABORATORY PRACTICAL ASSIGNMENT STATEMENT</w:t>
              <w:br/>
            </w:r>
            <w:r>
              <w:rPr>
                <w:rFonts w:ascii="Arial" w:hAnsi="Arial"/>
                <w:color w:val="212B36"/>
                <w:sz w:val="16"/>
              </w:rPr>
              <w:t>Experiment No. 2: Autoencoders and Variational Autoencoders (VAE)</w:t>
              <w:br/>
              <w:br/>
              <w:t>Problem Statement:</w:t>
              <w:br/>
              <w:t>1. Build a simple AE model for Dimensionality Reduction and Denoising.</w:t>
              <w:br/>
              <w:t>2. Generate realistic faces or interpolate between facial features for creative applications in entertainment and design using VAE.</w:t>
            </w:r>
          </w:p>
        </w:tc>
      </w:tr>
    </w:tbl>
    <w:p>
      <w:pPr>
        <w:spacing w:after="40"/>
      </w:pPr>
    </w:p>
    <w:p>
      <w:pPr>
        <w:keepNext/>
        <w:spacing w:before="140" w:after="40"/>
      </w:pPr>
      <w:r>
        <w:rPr>
          <w:rFonts w:ascii="Arial" w:hAnsi="Arial"/>
          <w:b/>
          <w:color w:val="0F2540"/>
          <w:sz w:val="23"/>
        </w:rPr>
        <w:t>Part 1: Autoencoder for Dimensionality Reduction and Denoising</w:t>
      </w:r>
    </w:p>
    <w:p>
      <w:pPr>
        <w:keepNext/>
        <w:spacing w:before="100" w:after="40"/>
      </w:pPr>
      <w:r>
        <w:rPr>
          <w:rFonts w:ascii="Arial" w:hAnsi="Arial"/>
          <w:b/>
          <w:color w:val="1976D2"/>
          <w:sz w:val="20"/>
        </w:rPr>
        <w:t>1.1 Aim</w:t>
      </w:r>
    </w:p>
    <w:p>
      <w:pPr>
        <w:spacing w:before="0" w:after="40" w:line="259" w:lineRule="auto"/>
      </w:pPr>
      <w:r>
        <w:rPr>
          <w:rFonts w:ascii="Arial" w:hAnsi="Arial"/>
          <w:color w:val="212B36"/>
          <w:sz w:val="17"/>
        </w:rPr>
        <w:t>To design and implement a Denoising Autoencoder (DAE) in PyTorch to compress high-dimensional image data into a compact low-dimensional bottleneck representation (dimensionality reduction) and successfully reconstruct clean images from inputs corrupted by additive Gaussian noise.</w:t>
      </w:r>
    </w:p>
    <w:p>
      <w:pPr>
        <w:keepNext/>
        <w:spacing w:before="100" w:after="40"/>
      </w:pPr>
      <w:r>
        <w:rPr>
          <w:rFonts w:ascii="Arial" w:hAnsi="Arial"/>
          <w:b/>
          <w:color w:val="1976D2"/>
          <w:sz w:val="20"/>
        </w:rPr>
        <w:t>1.2 Objectives</w:t>
      </w:r>
    </w:p>
    <w:p>
      <w:pPr>
        <w:pStyle w:val="ListBullet"/>
        <w:spacing w:before="0" w:after="30" w:line="259" w:lineRule="auto"/>
      </w:pPr>
      <w:r>
        <w:rPr>
          <w:rFonts w:ascii="Arial" w:hAnsi="Arial"/>
          <w:b/>
          <w:color w:val="0F2540"/>
          <w:sz w:val="17"/>
        </w:rPr>
        <w:t xml:space="preserve">1. Architecture Design: </w:t>
      </w:r>
      <w:r>
        <w:rPr>
          <w:rFonts w:ascii="Arial" w:hAnsi="Arial"/>
          <w:color w:val="212B36"/>
          <w:sz w:val="17"/>
        </w:rPr>
        <w:t>Construct an encoder-decoder neural network containing a 2D bottleneck latent layer.</w:t>
      </w:r>
    </w:p>
    <w:p>
      <w:pPr>
        <w:pStyle w:val="ListBullet"/>
        <w:spacing w:before="0" w:after="30" w:line="259" w:lineRule="auto"/>
      </w:pPr>
      <w:r>
        <w:rPr>
          <w:rFonts w:ascii="Arial" w:hAnsi="Arial"/>
          <w:b/>
          <w:color w:val="0F2540"/>
          <w:sz w:val="17"/>
        </w:rPr>
        <w:t xml:space="preserve">2. Noise Injection: </w:t>
      </w:r>
      <w:r>
        <w:rPr>
          <w:rFonts w:ascii="Arial" w:hAnsi="Arial"/>
          <w:color w:val="212B36"/>
          <w:sz w:val="17"/>
        </w:rPr>
        <w:t>Simulate sensor degradation by corrupting clean image data with zero-mean Gaussian noise (σ = 0.35).</w:t>
      </w:r>
    </w:p>
    <w:p>
      <w:pPr>
        <w:pStyle w:val="ListBullet"/>
        <w:spacing w:before="0" w:after="30" w:line="259" w:lineRule="auto"/>
      </w:pPr>
      <w:r>
        <w:rPr>
          <w:rFonts w:ascii="Arial" w:hAnsi="Arial"/>
          <w:b/>
          <w:color w:val="0F2540"/>
          <w:sz w:val="17"/>
        </w:rPr>
        <w:t xml:space="preserve">3. Manifold Learning: </w:t>
      </w:r>
      <w:r>
        <w:rPr>
          <w:rFonts w:ascii="Arial" w:hAnsi="Arial"/>
          <w:color w:val="212B36"/>
          <w:sz w:val="17"/>
        </w:rPr>
        <w:t>Train the network to project corrupted inputs back onto the clean data manifold using Mean Squared Error (MSE) loss.</w:t>
      </w:r>
    </w:p>
    <w:p>
      <w:pPr>
        <w:pStyle w:val="ListBullet"/>
        <w:spacing w:before="0" w:after="30" w:line="259" w:lineRule="auto"/>
      </w:pPr>
      <w:r>
        <w:rPr>
          <w:rFonts w:ascii="Arial" w:hAnsi="Arial"/>
          <w:b/>
          <w:color w:val="0F2540"/>
          <w:sz w:val="17"/>
        </w:rPr>
        <w:t xml:space="preserve">4. Dimensionality Reduction: </w:t>
      </w:r>
      <w:r>
        <w:rPr>
          <w:rFonts w:ascii="Arial" w:hAnsi="Arial"/>
          <w:color w:val="212B36"/>
          <w:sz w:val="17"/>
        </w:rPr>
        <w:t>Extract and visualize the 2D bottleneck representations to examine class separability and geometric compression.</w:t>
      </w:r>
    </w:p>
    <w:p>
      <w:pPr>
        <w:pStyle w:val="ListBullet"/>
        <w:spacing w:before="0" w:after="30" w:line="259" w:lineRule="auto"/>
      </w:pPr>
      <w:r>
        <w:rPr>
          <w:rFonts w:ascii="Arial" w:hAnsi="Arial"/>
          <w:b/>
          <w:color w:val="0F2540"/>
          <w:sz w:val="17"/>
        </w:rPr>
        <w:t xml:space="preserve">5. Performance Evaluation: </w:t>
      </w:r>
      <w:r>
        <w:rPr>
          <w:rFonts w:ascii="Arial" w:hAnsi="Arial"/>
          <w:color w:val="212B36"/>
          <w:sz w:val="17"/>
        </w:rPr>
        <w:t>Quantitatively evaluate denoising performance via MSE reduction and Peak Signal-to-Noise Ratio (PSNR) gain.</w:t>
      </w:r>
    </w:p>
    <w:p>
      <w:pPr>
        <w:keepNext/>
        <w:spacing w:before="100" w:after="40"/>
      </w:pPr>
      <w:r>
        <w:rPr>
          <w:rFonts w:ascii="Arial" w:hAnsi="Arial"/>
          <w:b/>
          <w:color w:val="1976D2"/>
          <w:sz w:val="20"/>
        </w:rPr>
        <w:t>1.3 Hardware and Software Environment</w:t>
      </w:r>
    </w:p>
    <w:tbl>
      <w:tblPr>
        <w:tblW w:type="auto" w:w="0"/>
        <w:jc w:val="center"/>
        <w:tblLook w:firstColumn="1" w:firstRow="1" w:lastColumn="0" w:lastRow="0" w:noHBand="0" w:noVBand="1" w:val="04A0"/>
      </w:tblPr>
      <w:tblGrid>
        <w:gridCol w:w="5040"/>
        <w:gridCol w:w="5040"/>
      </w:tblGrid>
      <w:tr>
        <w:tc>
          <w:tcPr>
            <w:tcW w:type="dxa" w:w="5040"/>
            <w:shd w:fill="0F2540"/>
            <w:tcMar>
              <w:top w:w="30" w:type="dxa"/>
              <w:bottom w:w="30" w:type="dxa"/>
              <w:left w:w="60" w:type="dxa"/>
              <w:right w:w="60" w:type="dxa"/>
            </w:tcMar>
          </w:tcPr>
          <w:p>
            <w:r>
              <w:rPr>
                <w:rFonts w:ascii="Arial" w:hAnsi="Arial"/>
                <w:b/>
                <w:color w:val="FFFFFF"/>
                <w:sz w:val="16"/>
              </w:rPr>
              <w:t>Component / Tool</w:t>
            </w:r>
          </w:p>
        </w:tc>
        <w:tc>
          <w:tcPr>
            <w:tcW w:type="dxa" w:w="5040"/>
            <w:shd w:fill="0F2540"/>
            <w:tcMar>
              <w:top w:w="30" w:type="dxa"/>
              <w:bottom w:w="30" w:type="dxa"/>
              <w:left w:w="60" w:type="dxa"/>
              <w:right w:w="60" w:type="dxa"/>
            </w:tcMar>
          </w:tcPr>
          <w:p>
            <w:r>
              <w:rPr>
                <w:rFonts w:ascii="Arial" w:hAnsi="Arial"/>
                <w:b/>
                <w:color w:val="FFFFFF"/>
                <w:sz w:val="16"/>
              </w:rPr>
              <w:t>Specification &amp; Version</w:t>
            </w:r>
          </w:p>
        </w:tc>
      </w:tr>
      <w:tr>
        <w:tc>
          <w:tcPr>
            <w:tcW w:type="dxa" w:w="5040"/>
            <w:shd w:fill="F8FAFC"/>
            <w:tcMar>
              <w:top w:w="20" w:type="dxa"/>
              <w:bottom w:w="20" w:type="dxa"/>
              <w:left w:w="60" w:type="dxa"/>
              <w:right w:w="60" w:type="dxa"/>
            </w:tcMar>
          </w:tcPr>
          <w:p>
            <w:r>
              <w:rPr>
                <w:rFonts w:ascii="Arial" w:hAnsi="Arial"/>
                <w:b/>
                <w:color w:val="0F2540"/>
                <w:sz w:val="15"/>
              </w:rPr>
              <w:t>Programming Language</w:t>
            </w:r>
          </w:p>
        </w:tc>
        <w:tc>
          <w:tcPr>
            <w:tcW w:type="dxa" w:w="5040"/>
            <w:shd w:fill="F8FAFC"/>
            <w:tcMar>
              <w:top w:w="20" w:type="dxa"/>
              <w:bottom w:w="20" w:type="dxa"/>
              <w:left w:w="60" w:type="dxa"/>
              <w:right w:w="60" w:type="dxa"/>
            </w:tcMar>
          </w:tcPr>
          <w:p>
            <w:r>
              <w:rPr>
                <w:rFonts w:ascii="Arial" w:hAnsi="Arial"/>
                <w:color w:val="212B36"/>
                <w:sz w:val="15"/>
              </w:rPr>
              <w:t>Python 3.10.11 (64-bit)</w:t>
            </w:r>
          </w:p>
        </w:tc>
      </w:tr>
      <w:tr>
        <w:tc>
          <w:tcPr>
            <w:tcW w:type="dxa" w:w="5040"/>
            <w:shd w:fill="FFFFFF"/>
            <w:tcMar>
              <w:top w:w="20" w:type="dxa"/>
              <w:bottom w:w="20" w:type="dxa"/>
              <w:left w:w="60" w:type="dxa"/>
              <w:right w:w="60" w:type="dxa"/>
            </w:tcMar>
          </w:tcPr>
          <w:p>
            <w:r>
              <w:rPr>
                <w:rFonts w:ascii="Arial" w:hAnsi="Arial"/>
                <w:b/>
                <w:color w:val="0F2540"/>
                <w:sz w:val="15"/>
              </w:rPr>
              <w:t>Deep Learning Framework</w:t>
            </w:r>
          </w:p>
        </w:tc>
        <w:tc>
          <w:tcPr>
            <w:tcW w:type="dxa" w:w="5040"/>
            <w:shd w:fill="FFFFFF"/>
            <w:tcMar>
              <w:top w:w="20" w:type="dxa"/>
              <w:bottom w:w="20" w:type="dxa"/>
              <w:left w:w="60" w:type="dxa"/>
              <w:right w:w="60" w:type="dxa"/>
            </w:tcMar>
          </w:tcPr>
          <w:p>
            <w:r>
              <w:rPr>
                <w:rFonts w:ascii="Arial" w:hAnsi="Arial"/>
                <w:color w:val="212B36"/>
                <w:sz w:val="15"/>
              </w:rPr>
              <w:t>PyTorch 2.14.1 (CPU / TorchScript Execution)</w:t>
            </w:r>
          </w:p>
        </w:tc>
      </w:tr>
      <w:tr>
        <w:tc>
          <w:tcPr>
            <w:tcW w:type="dxa" w:w="5040"/>
            <w:shd w:fill="F8FAFC"/>
            <w:tcMar>
              <w:top w:w="20" w:type="dxa"/>
              <w:bottom w:w="20" w:type="dxa"/>
              <w:left w:w="60" w:type="dxa"/>
              <w:right w:w="60" w:type="dxa"/>
            </w:tcMar>
          </w:tcPr>
          <w:p>
            <w:r>
              <w:rPr>
                <w:rFonts w:ascii="Arial" w:hAnsi="Arial"/>
                <w:b/>
                <w:color w:val="0F2540"/>
                <w:sz w:val="15"/>
              </w:rPr>
              <w:t>Scientific &amp; Math Libraries</w:t>
            </w:r>
          </w:p>
        </w:tc>
        <w:tc>
          <w:tcPr>
            <w:tcW w:type="dxa" w:w="5040"/>
            <w:shd w:fill="F8FAFC"/>
            <w:tcMar>
              <w:top w:w="20" w:type="dxa"/>
              <w:bottom w:w="20" w:type="dxa"/>
              <w:left w:w="60" w:type="dxa"/>
              <w:right w:w="60" w:type="dxa"/>
            </w:tcMar>
          </w:tcPr>
          <w:p>
            <w:r>
              <w:rPr>
                <w:rFonts w:ascii="Arial" w:hAnsi="Arial"/>
                <w:color w:val="212B36"/>
                <w:sz w:val="15"/>
              </w:rPr>
              <w:t>NumPy 2.2.6, SciPy 1.15.3</w:t>
            </w:r>
          </w:p>
        </w:tc>
      </w:tr>
      <w:tr>
        <w:tc>
          <w:tcPr>
            <w:tcW w:type="dxa" w:w="5040"/>
            <w:shd w:fill="FFFFFF"/>
            <w:tcMar>
              <w:top w:w="20" w:type="dxa"/>
              <w:bottom w:w="20" w:type="dxa"/>
              <w:left w:w="60" w:type="dxa"/>
              <w:right w:w="60" w:type="dxa"/>
            </w:tcMar>
          </w:tcPr>
          <w:p>
            <w:r>
              <w:rPr>
                <w:rFonts w:ascii="Arial" w:hAnsi="Arial"/>
                <w:b/>
                <w:color w:val="0F2540"/>
                <w:sz w:val="15"/>
              </w:rPr>
              <w:t>Visualization Suite</w:t>
            </w:r>
          </w:p>
        </w:tc>
        <w:tc>
          <w:tcPr>
            <w:tcW w:type="dxa" w:w="5040"/>
            <w:shd w:fill="FFFFFF"/>
            <w:tcMar>
              <w:top w:w="20" w:type="dxa"/>
              <w:bottom w:w="20" w:type="dxa"/>
              <w:left w:w="60" w:type="dxa"/>
              <w:right w:w="60" w:type="dxa"/>
            </w:tcMar>
          </w:tcPr>
          <w:p>
            <w:r>
              <w:rPr>
                <w:rFonts w:ascii="Arial" w:hAnsi="Arial"/>
                <w:color w:val="212B36"/>
                <w:sz w:val="15"/>
              </w:rPr>
              <w:t>Matplotlib 3.10.0</w:t>
            </w:r>
          </w:p>
        </w:tc>
      </w:tr>
      <w:tr>
        <w:tc>
          <w:tcPr>
            <w:tcW w:type="dxa" w:w="5040"/>
            <w:shd w:fill="F8FAFC"/>
            <w:tcMar>
              <w:top w:w="20" w:type="dxa"/>
              <w:bottom w:w="20" w:type="dxa"/>
              <w:left w:w="60" w:type="dxa"/>
              <w:right w:w="60" w:type="dxa"/>
            </w:tcMar>
          </w:tcPr>
          <w:p>
            <w:r>
              <w:rPr>
                <w:rFonts w:ascii="Arial" w:hAnsi="Arial"/>
                <w:b/>
                <w:color w:val="0F2540"/>
                <w:sz w:val="15"/>
              </w:rPr>
              <w:t>Dataset Loader</w:t>
            </w:r>
          </w:p>
        </w:tc>
        <w:tc>
          <w:tcPr>
            <w:tcW w:type="dxa" w:w="5040"/>
            <w:shd w:fill="F8FAFC"/>
            <w:tcMar>
              <w:top w:w="20" w:type="dxa"/>
              <w:bottom w:w="20" w:type="dxa"/>
              <w:left w:w="60" w:type="dxa"/>
              <w:right w:w="60" w:type="dxa"/>
            </w:tcMar>
          </w:tcPr>
          <w:p>
            <w:r>
              <w:rPr>
                <w:rFonts w:ascii="Arial" w:hAnsi="Arial"/>
                <w:color w:val="212B36"/>
                <w:sz w:val="15"/>
              </w:rPr>
              <w:t>Scikit-Learn 1.6 (OpenML MNIST benchmark)</w:t>
            </w:r>
          </w:p>
        </w:tc>
      </w:tr>
      <w:tr>
        <w:tc>
          <w:tcPr>
            <w:tcW w:type="dxa" w:w="5040"/>
            <w:shd w:fill="FFFFFF"/>
            <w:tcMar>
              <w:top w:w="20" w:type="dxa"/>
              <w:bottom w:w="20" w:type="dxa"/>
              <w:left w:w="60" w:type="dxa"/>
              <w:right w:w="60" w:type="dxa"/>
            </w:tcMar>
          </w:tcPr>
          <w:p>
            <w:r>
              <w:rPr>
                <w:rFonts w:ascii="Arial" w:hAnsi="Arial"/>
                <w:b/>
                <w:color w:val="0F2540"/>
                <w:sz w:val="15"/>
              </w:rPr>
              <w:t>Execution Hardware</w:t>
            </w:r>
          </w:p>
        </w:tc>
        <w:tc>
          <w:tcPr>
            <w:tcW w:type="dxa" w:w="5040"/>
            <w:shd w:fill="FFFFFF"/>
            <w:tcMar>
              <w:top w:w="20" w:type="dxa"/>
              <w:bottom w:w="20" w:type="dxa"/>
              <w:left w:w="60" w:type="dxa"/>
              <w:right w:w="60" w:type="dxa"/>
            </w:tcMar>
          </w:tcPr>
          <w:p>
            <w:r>
              <w:rPr>
                <w:rFonts w:ascii="Arial" w:hAnsi="Arial"/>
                <w:color w:val="212B36"/>
                <w:sz w:val="15"/>
              </w:rPr>
              <w:t>Intel Core i5 / AMD Ryzen 64-bit Architecture, 16 GB RAM</w:t>
            </w:r>
          </w:p>
        </w:tc>
      </w:tr>
    </w:tbl>
    <w:p>
      <w:r>
        <w:br w:type="page"/>
      </w:r>
    </w:p>
    <w:p>
      <w:pPr>
        <w:keepNext/>
        <w:spacing w:before="100" w:after="40"/>
      </w:pPr>
      <w:r>
        <w:rPr>
          <w:rFonts w:ascii="Arial" w:hAnsi="Arial"/>
          <w:b/>
          <w:color w:val="1976D2"/>
          <w:sz w:val="20"/>
        </w:rPr>
        <w:t>1.4 Theory &amp; Architectural Principles</w:t>
      </w:r>
    </w:p>
    <w:p>
      <w:pPr>
        <w:spacing w:before="0" w:after="40" w:line="259" w:lineRule="auto"/>
      </w:pPr>
      <w:r>
        <w:rPr>
          <w:rFonts w:ascii="Arial" w:hAnsi="Arial"/>
          <w:color w:val="212B36"/>
          <w:sz w:val="17"/>
        </w:rPr>
        <w:t>An Autoencoder is an unsupervised neural network designed to learn efficient, low-dimensional representations of input data. It consists of two symmetrical sub-networks: an Encoder and a Decoder.</w:t>
      </w:r>
    </w:p>
    <w:p>
      <w:pPr>
        <w:pStyle w:val="ListBullet"/>
        <w:spacing w:before="0" w:after="30" w:line="259" w:lineRule="auto"/>
      </w:pPr>
      <w:r>
        <w:rPr>
          <w:rFonts w:ascii="Arial" w:hAnsi="Arial"/>
          <w:b/>
          <w:color w:val="0F2540"/>
          <w:sz w:val="17"/>
        </w:rPr>
        <w:t xml:space="preserve">1. Encoder Network: </w:t>
      </w:r>
      <w:r>
        <w:rPr>
          <w:rFonts w:ascii="Arial" w:hAnsi="Arial"/>
          <w:color w:val="212B36"/>
          <w:sz w:val="17"/>
        </w:rPr>
        <w:t>Maps the high-dimensional input vector x ∈ R^784 into a low-dimensional bottleneck code z ∈ R^d through successive linear transformations and non-linear activations: z = f_θ(x) = σ(W_e · x + b_e). In this implementation, the bottleneck dimension is constrained to d = 2 to achieve an extreme 392x compression ratio.</w:t>
      </w:r>
    </w:p>
    <w:p>
      <w:pPr>
        <w:pStyle w:val="ListBullet"/>
        <w:spacing w:before="0" w:after="30" w:line="259" w:lineRule="auto"/>
      </w:pPr>
      <w:r>
        <w:rPr>
          <w:rFonts w:ascii="Arial" w:hAnsi="Arial"/>
          <w:b/>
          <w:color w:val="0F2540"/>
          <w:sz w:val="17"/>
        </w:rPr>
        <w:t xml:space="preserve">2. Decoder Network: </w:t>
      </w:r>
      <w:r>
        <w:rPr>
          <w:rFonts w:ascii="Arial" w:hAnsi="Arial"/>
          <w:color w:val="212B36"/>
          <w:sz w:val="17"/>
        </w:rPr>
        <w:t>Reconstructs an approximation x̂ ∈ R^784 from the bottleneck latent code: x̂ = g_ϕ(z) = σ(W_d · z + b_d), where a Sigmoid output function maps outputs strictly to normalized pixel intensities in [0, 1].</w:t>
      </w:r>
    </w:p>
    <w:p>
      <w:pPr>
        <w:pStyle w:val="ListBullet"/>
        <w:spacing w:before="0" w:after="30" w:line="259" w:lineRule="auto"/>
      </w:pPr>
      <w:r>
        <w:rPr>
          <w:rFonts w:ascii="Arial" w:hAnsi="Arial"/>
          <w:b/>
          <w:color w:val="0F2540"/>
          <w:sz w:val="17"/>
        </w:rPr>
        <w:t xml:space="preserve">3. Denoising Mechanism: </w:t>
      </w:r>
      <w:r>
        <w:rPr>
          <w:rFonts w:ascii="Arial" w:hAnsi="Arial"/>
          <w:color w:val="212B36"/>
          <w:sz w:val="17"/>
        </w:rPr>
        <w:t>In a standard autoencoder, the network can theoretically learn a trivial identity mapping. In a Denoising Autoencoder (DAE), the input is deliberately corrupted: x̃ = x + δ, where δ ~ N(0, σ^2 I). The network is trained using the objective L_MSE(x, x̂) = (1/N) Σ ||x - g_ϕ(f_θ(x̃))||^2. Because the network must output clean ground truth x from corrupted x̃, it learns orthogonal projection operators that pull off-manifold noisy samples back onto the true low-dimensional data manifold.</w:t>
      </w:r>
    </w:p>
    <w:p>
      <w:pPr>
        <w:keepNext/>
        <w:spacing w:before="40" w:after="20"/>
        <w:jc w:val="center"/>
      </w:pPr>
      <w:r>
        <w:drawing>
          <wp:inline xmlns:a="http://schemas.openxmlformats.org/drawingml/2006/main" xmlns:pic="http://schemas.openxmlformats.org/drawingml/2006/picture">
            <wp:extent cx="5120640" cy="1350498"/>
            <wp:docPr id="1" name="Picture 1"/>
            <wp:cNvGraphicFramePr>
              <a:graphicFrameLocks noChangeAspect="1"/>
            </wp:cNvGraphicFramePr>
            <a:graphic>
              <a:graphicData uri="http://schemas.openxmlformats.org/drawingml/2006/picture">
                <pic:pic>
                  <pic:nvPicPr>
                    <pic:cNvPr id="0" name="fig_ae_architecture.png"/>
                    <pic:cNvPicPr/>
                  </pic:nvPicPr>
                  <pic:blipFill>
                    <a:blip r:embed="rId11"/>
                    <a:stretch>
                      <a:fillRect/>
                    </a:stretch>
                  </pic:blipFill>
                  <pic:spPr>
                    <a:xfrm>
                      <a:off x="0" y="0"/>
                      <a:ext cx="5120640" cy="1350498"/>
                    </a:xfrm>
                    <a:prstGeom prst="rect"/>
                  </pic:spPr>
                </pic:pic>
              </a:graphicData>
            </a:graphic>
          </wp:inline>
        </w:drawing>
      </w:r>
    </w:p>
    <w:p>
      <w:pPr>
        <w:spacing w:before="20" w:after="60"/>
        <w:jc w:val="center"/>
      </w:pPr>
      <w:r>
        <w:rPr>
          <w:rFonts w:ascii="Arial" w:hAnsi="Arial"/>
          <w:i/>
          <w:color w:val="475569"/>
          <w:sz w:val="15"/>
        </w:rPr>
        <w:t>Figure 1.1: Block diagram of Denoising Autoencoder with 2D Bottleneck for Dimensionality Reduction and Denoising</w:t>
      </w:r>
    </w:p>
    <w:p>
      <w:pPr>
        <w:keepNext/>
        <w:spacing w:before="100" w:after="40"/>
      </w:pPr>
      <w:r>
        <w:rPr>
          <w:rFonts w:ascii="Arial" w:hAnsi="Arial"/>
          <w:b/>
          <w:color w:val="1976D2"/>
          <w:sz w:val="20"/>
        </w:rPr>
        <w:t>1.5 Step-by-Step Implementation Procedure</w:t>
      </w:r>
    </w:p>
    <w:tbl>
      <w:tblPr>
        <w:tblW w:type="auto" w:w="0"/>
        <w:jc w:val="center"/>
        <w:tblLook w:firstColumn="1" w:firstRow="1" w:lastColumn="0" w:lastRow="0" w:noHBand="0" w:noVBand="1" w:val="04A0"/>
      </w:tblPr>
      <w:tblGrid>
        <w:gridCol w:w="5040"/>
        <w:gridCol w:w="5040"/>
      </w:tblGrid>
      <w:tr>
        <w:tc>
          <w:tcPr>
            <w:tcW w:type="dxa" w:w="5040"/>
            <w:shd w:fill="0F2540"/>
            <w:tcMar>
              <w:top w:w="30" w:type="dxa"/>
              <w:bottom w:w="30" w:type="dxa"/>
              <w:left w:w="60" w:type="dxa"/>
              <w:right w:w="60" w:type="dxa"/>
            </w:tcMar>
          </w:tcPr>
          <w:p>
            <w:r>
              <w:rPr>
                <w:rFonts w:ascii="Arial" w:hAnsi="Arial"/>
                <w:b/>
                <w:color w:val="FFFFFF"/>
                <w:sz w:val="16"/>
              </w:rPr>
              <w:t>Phase / Step</w:t>
            </w:r>
          </w:p>
        </w:tc>
        <w:tc>
          <w:tcPr>
            <w:tcW w:type="dxa" w:w="5040"/>
            <w:shd w:fill="0F2540"/>
            <w:tcMar>
              <w:top w:w="30" w:type="dxa"/>
              <w:bottom w:w="30" w:type="dxa"/>
              <w:left w:w="60" w:type="dxa"/>
              <w:right w:w="60" w:type="dxa"/>
            </w:tcMar>
          </w:tcPr>
          <w:p>
            <w:r>
              <w:rPr>
                <w:rFonts w:ascii="Arial" w:hAnsi="Arial"/>
                <w:b/>
                <w:color w:val="FFFFFF"/>
                <w:sz w:val="16"/>
              </w:rPr>
              <w:t>Detailed Procedure</w:t>
            </w:r>
          </w:p>
        </w:tc>
      </w:tr>
      <w:tr>
        <w:tc>
          <w:tcPr>
            <w:tcW w:type="dxa" w:w="5040"/>
            <w:shd w:fill="F8FAFC"/>
            <w:tcMar>
              <w:top w:w="20" w:type="dxa"/>
              <w:bottom w:w="20" w:type="dxa"/>
              <w:left w:w="60" w:type="dxa"/>
              <w:right w:w="60" w:type="dxa"/>
            </w:tcMar>
          </w:tcPr>
          <w:p>
            <w:r>
              <w:rPr>
                <w:rFonts w:ascii="Arial" w:hAnsi="Arial"/>
                <w:b/>
                <w:color w:val="0F2540"/>
                <w:sz w:val="15"/>
              </w:rPr>
              <w:t>Step 1: Dataset Acquisition</w:t>
            </w:r>
          </w:p>
        </w:tc>
        <w:tc>
          <w:tcPr>
            <w:tcW w:type="dxa" w:w="5040"/>
            <w:shd w:fill="F8FAFC"/>
            <w:tcMar>
              <w:top w:w="20" w:type="dxa"/>
              <w:bottom w:w="20" w:type="dxa"/>
              <w:left w:w="60" w:type="dxa"/>
              <w:right w:w="60" w:type="dxa"/>
            </w:tcMar>
          </w:tcPr>
          <w:p>
            <w:r>
              <w:rPr>
                <w:rFonts w:ascii="Arial" w:hAnsi="Arial"/>
                <w:color w:val="212B36"/>
                <w:sz w:val="15"/>
              </w:rPr>
              <w:t>Load the normalized MNIST digit dataset (784 dimensions, 28x28 pixels). Partition into 5,000 training and 1,000 testing samples.</w:t>
            </w:r>
          </w:p>
        </w:tc>
      </w:tr>
      <w:tr>
        <w:tc>
          <w:tcPr>
            <w:tcW w:type="dxa" w:w="5040"/>
            <w:shd w:fill="FFFFFF"/>
            <w:tcMar>
              <w:top w:w="20" w:type="dxa"/>
              <w:bottom w:w="20" w:type="dxa"/>
              <w:left w:w="60" w:type="dxa"/>
              <w:right w:w="60" w:type="dxa"/>
            </w:tcMar>
          </w:tcPr>
          <w:p>
            <w:r>
              <w:rPr>
                <w:rFonts w:ascii="Arial" w:hAnsi="Arial"/>
                <w:b/>
                <w:color w:val="0F2540"/>
                <w:sz w:val="15"/>
              </w:rPr>
              <w:t>Step 2: Noise Injection</w:t>
            </w:r>
          </w:p>
        </w:tc>
        <w:tc>
          <w:tcPr>
            <w:tcW w:type="dxa" w:w="5040"/>
            <w:shd w:fill="FFFFFF"/>
            <w:tcMar>
              <w:top w:w="20" w:type="dxa"/>
              <w:bottom w:w="20" w:type="dxa"/>
              <w:left w:w="60" w:type="dxa"/>
              <w:right w:w="60" w:type="dxa"/>
            </w:tcMar>
          </w:tcPr>
          <w:p>
            <w:r>
              <w:rPr>
                <w:rFonts w:ascii="Arial" w:hAnsi="Arial"/>
                <w:color w:val="212B36"/>
                <w:sz w:val="15"/>
              </w:rPr>
              <w:t>Generate synthetic zero-mean Gaussian noise with standard deviation σ = 0.35 and corrupt clean images: x_noisy = clip(x_clean + noise, 0, 1).</w:t>
            </w:r>
          </w:p>
        </w:tc>
      </w:tr>
      <w:tr>
        <w:tc>
          <w:tcPr>
            <w:tcW w:type="dxa" w:w="5040"/>
            <w:shd w:fill="F8FAFC"/>
            <w:tcMar>
              <w:top w:w="20" w:type="dxa"/>
              <w:bottom w:w="20" w:type="dxa"/>
              <w:left w:w="60" w:type="dxa"/>
              <w:right w:w="60" w:type="dxa"/>
            </w:tcMar>
          </w:tcPr>
          <w:p>
            <w:r>
              <w:rPr>
                <w:rFonts w:ascii="Arial" w:hAnsi="Arial"/>
                <w:b/>
                <w:color w:val="0F2540"/>
                <w:sz w:val="15"/>
              </w:rPr>
              <w:t>Step 3: Model Construction</w:t>
            </w:r>
          </w:p>
        </w:tc>
        <w:tc>
          <w:tcPr>
            <w:tcW w:type="dxa" w:w="5040"/>
            <w:shd w:fill="F8FAFC"/>
            <w:tcMar>
              <w:top w:w="20" w:type="dxa"/>
              <w:bottom w:w="20" w:type="dxa"/>
              <w:left w:w="60" w:type="dxa"/>
              <w:right w:w="60" w:type="dxa"/>
            </w:tcMar>
          </w:tcPr>
          <w:p>
            <w:r>
              <w:rPr>
                <w:rFonts w:ascii="Arial" w:hAnsi="Arial"/>
                <w:color w:val="212B36"/>
                <w:sz w:val="15"/>
              </w:rPr>
              <w:t>Construct PyTorch nn.Sequential encoder (784 -&gt; 128 -&gt; 32 -&gt; 2) and decoder (2 -&gt; 32 -&gt; 128 -&gt; 784) with ReLU hidden layers and Sigmoid output.</w:t>
            </w:r>
          </w:p>
        </w:tc>
      </w:tr>
      <w:tr>
        <w:tc>
          <w:tcPr>
            <w:tcW w:type="dxa" w:w="5040"/>
            <w:shd w:fill="FFFFFF"/>
            <w:tcMar>
              <w:top w:w="20" w:type="dxa"/>
              <w:bottom w:w="20" w:type="dxa"/>
              <w:left w:w="60" w:type="dxa"/>
              <w:right w:w="60" w:type="dxa"/>
            </w:tcMar>
          </w:tcPr>
          <w:p>
            <w:r>
              <w:rPr>
                <w:rFonts w:ascii="Arial" w:hAnsi="Arial"/>
                <w:b/>
                <w:color w:val="0F2540"/>
                <w:sz w:val="15"/>
              </w:rPr>
              <w:t>Step 4: Training Loop</w:t>
            </w:r>
          </w:p>
        </w:tc>
        <w:tc>
          <w:tcPr>
            <w:tcW w:type="dxa" w:w="5040"/>
            <w:shd w:fill="FFFFFF"/>
            <w:tcMar>
              <w:top w:w="20" w:type="dxa"/>
              <w:bottom w:w="20" w:type="dxa"/>
              <w:left w:w="60" w:type="dxa"/>
              <w:right w:w="60" w:type="dxa"/>
            </w:tcMar>
          </w:tcPr>
          <w:p>
            <w:r>
              <w:rPr>
                <w:rFonts w:ascii="Arial" w:hAnsi="Arial"/>
                <w:color w:val="212B36"/>
                <w:sz w:val="15"/>
              </w:rPr>
              <w:t>Train using Adam optimizer (learning rate = 0.002) with MSE loss for 20 epochs, passing noisy inputs to produce clean reconstructions.</w:t>
            </w:r>
          </w:p>
        </w:tc>
      </w:tr>
      <w:tr>
        <w:tc>
          <w:tcPr>
            <w:tcW w:type="dxa" w:w="5040"/>
            <w:shd w:fill="F8FAFC"/>
            <w:tcMar>
              <w:top w:w="20" w:type="dxa"/>
              <w:bottom w:w="20" w:type="dxa"/>
              <w:left w:w="60" w:type="dxa"/>
              <w:right w:w="60" w:type="dxa"/>
            </w:tcMar>
          </w:tcPr>
          <w:p>
            <w:r>
              <w:rPr>
                <w:rFonts w:ascii="Arial" w:hAnsi="Arial"/>
                <w:b/>
                <w:color w:val="0F2540"/>
                <w:sz w:val="15"/>
              </w:rPr>
              <w:t>Step 5: Latent Extraction</w:t>
            </w:r>
          </w:p>
        </w:tc>
        <w:tc>
          <w:tcPr>
            <w:tcW w:type="dxa" w:w="5040"/>
            <w:shd w:fill="F8FAFC"/>
            <w:tcMar>
              <w:top w:w="20" w:type="dxa"/>
              <w:bottom w:w="20" w:type="dxa"/>
              <w:left w:w="60" w:type="dxa"/>
              <w:right w:w="60" w:type="dxa"/>
            </w:tcMar>
          </w:tcPr>
          <w:p>
            <w:r>
              <w:rPr>
                <w:rFonts w:ascii="Arial" w:hAnsi="Arial"/>
                <w:color w:val="212B36"/>
                <w:sz w:val="15"/>
              </w:rPr>
              <w:t>Extract 2D bottleneck coordinates for the test set and plot against ground truth digit labels to inspect cluster manifold formation.</w:t>
            </w:r>
          </w:p>
        </w:tc>
      </w:tr>
      <w:tr>
        <w:tc>
          <w:tcPr>
            <w:tcW w:type="dxa" w:w="5040"/>
            <w:shd w:fill="FFFFFF"/>
            <w:tcMar>
              <w:top w:w="20" w:type="dxa"/>
              <w:bottom w:w="20" w:type="dxa"/>
              <w:left w:w="60" w:type="dxa"/>
              <w:right w:w="60" w:type="dxa"/>
            </w:tcMar>
          </w:tcPr>
          <w:p>
            <w:r>
              <w:rPr>
                <w:rFonts w:ascii="Arial" w:hAnsi="Arial"/>
                <w:b/>
                <w:color w:val="0F2540"/>
                <w:sz w:val="15"/>
              </w:rPr>
              <w:t>Step 6: Metric Evaluation</w:t>
            </w:r>
          </w:p>
        </w:tc>
        <w:tc>
          <w:tcPr>
            <w:tcW w:type="dxa" w:w="5040"/>
            <w:shd w:fill="FFFFFF"/>
            <w:tcMar>
              <w:top w:w="20" w:type="dxa"/>
              <w:bottom w:w="20" w:type="dxa"/>
              <w:left w:w="60" w:type="dxa"/>
              <w:right w:w="60" w:type="dxa"/>
            </w:tcMar>
          </w:tcPr>
          <w:p>
            <w:r>
              <w:rPr>
                <w:rFonts w:ascii="Arial" w:hAnsi="Arial"/>
                <w:color w:val="212B36"/>
                <w:sz w:val="15"/>
              </w:rPr>
              <w:t>Compute empirical Mean Squared Error (MSE) and Peak Signal-to-Noise Ratio (PSNR) to measure quantitative denoising improvement.</w:t>
            </w:r>
          </w:p>
        </w:tc>
      </w:tr>
    </w:tbl>
    <w:p>
      <w:r>
        <w:br w:type="page"/>
      </w:r>
    </w:p>
    <w:p>
      <w:pPr>
        <w:keepNext/>
        <w:spacing w:before="100" w:after="40"/>
      </w:pPr>
      <w:r>
        <w:rPr>
          <w:rFonts w:ascii="Arial" w:hAnsi="Arial"/>
          <w:b/>
          <w:color w:val="1976D2"/>
          <w:sz w:val="20"/>
        </w:rPr>
        <w:t>1.6 Python Source Code</w:t>
      </w:r>
    </w:p>
    <w:tbl>
      <w:tblPr>
        <w:tblW w:type="auto" w:w="0"/>
        <w:jc w:val="center"/>
        <w:tblLook w:firstColumn="1" w:firstRow="1" w:lastColumn="0" w:lastRow="0" w:noHBand="0" w:noVBand="1" w:val="04A0"/>
      </w:tblPr>
      <w:tblGrid>
        <w:gridCol w:w="10080"/>
      </w:tblGrid>
      <w:tr>
        <w:tc>
          <w:tcPr>
            <w:tcW w:type="dxa" w:w="10080"/>
            <w:shd w:fill="F8FAFC"/>
            <w:tcMar>
              <w:top w:w="35" w:type="dxa"/>
              <w:bottom w:w="35" w:type="dxa"/>
              <w:left w:w="70" w:type="dxa"/>
              <w:right w:w="70" w:type="dxa"/>
            </w:tcMar>
            <w:tcBorders>
              <w:top w:val="single" w:sz="4" w:space="0" w:color="CBD5E1"/>
              <w:left w:val="single" w:sz="14" w:space="0" w:color="0F2540"/>
              <w:bottom w:val="single" w:sz="4" w:space="0" w:color="CBD5E1"/>
              <w:right w:val="single" w:sz="4" w:space="0" w:color="CBD5E1"/>
            </w:tcBorders>
          </w:tcPr>
          <w:p>
            <w:pPr>
              <w:spacing w:before="0" w:after="0" w:line="240" w:lineRule="auto"/>
            </w:pPr>
            <w:r>
              <w:rPr>
                <w:rFonts w:ascii="Consolas" w:hAnsi="Consolas"/>
                <w:color w:val="0F172A"/>
                <w:sz w:val="13"/>
              </w:rPr>
              <w:t># ==============================================================================</w:t>
              <w:br/>
              <w:t># EXPERIMENT 2 - PART 1: Denoising Autoencoder for Dimensionality Reduction</w:t>
              <w:br/>
              <w:t># Student: Abhay Bhise | PRN: 202402040016 | Batch: GENAI3</w:t>
              <w:br/>
              <w:t># ==============================================================================</w:t>
              <w:br/>
              <w:t>import numpy as np</w:t>
              <w:br/>
              <w:t>import torch</w:t>
              <w:br/>
              <w:t>import torch.nn as nn</w:t>
              <w:br/>
              <w:t>import torch.optim as optim</w:t>
              <w:br/>
              <w:t>from torch.utils.data import DataLoader, TensorDataset</w:t>
              <w:br/>
              <w:t>from sklearn.datasets import fetch_openml</w:t>
              <w:br/>
              <w:br/>
              <w:t># 1. Load MNIST dataset and normalize to [0, 1]</w:t>
              <w:br/>
              <w:t>mnist = fetch_openml('mnist_784', version=1, as_frame=False, parser='auto')</w:t>
              <w:br/>
              <w:t>X_all = mnist.data.astype(np.float32) / 255.0</w:t>
              <w:br/>
              <w:t>y_all = mnist.target.astype(int)</w:t>
              <w:br/>
              <w:t>X_train_clean, y_train = X_all[:5000], y_all[:5000]</w:t>
              <w:br/>
              <w:t>X_test_clean, y_test = X_all[5000:6000], y_all[5000:6000]</w:t>
              <w:br/>
              <w:br/>
              <w:t># 2. Corrupt inputs with Gaussian Noise (sigma = 0.35)</w:t>
              <w:br/>
              <w:t>noise_factor = 0.35</w:t>
              <w:br/>
              <w:t>X_train_noisy = np.clip(X_train_clean + noise_factor * np.random.randn(*X_train_clean.shape), 0.0, 1.0).astype(np.float32)</w:t>
              <w:br/>
              <w:t>X_test_noisy = np.clip(X_test_clean + noise_factor * np.random.randn(*X_test_clean.shape), 0.0, 1.0).astype(np.float32)</w:t>
              <w:br/>
              <w:br/>
              <w:t>train_loader = DataLoader(TensorDataset(torch.from_numpy(X_train_noisy), torch.from_numpy(X_train_clean)), batch_size=128, shuffle=True)</w:t>
              <w:br/>
              <w:t>test_loader = DataLoader(TensorDataset(torch.from_numpy(X_test_noisy), torch.from_numpy(X_test_clean)), batch_size=128, shuffle=False)</w:t>
              <w:br/>
              <w:br/>
              <w:t># 3. Model Architecture with 2D Bottleneck for Direct Dimensionality Reduction</w:t>
              <w:br/>
              <w:t>class DenoisingAutoencoder(nn.Module):</w:t>
              <w:br/>
              <w:t xml:space="preserve">    def __init__(self):</w:t>
              <w:br/>
              <w:t xml:space="preserve">        super(DenoisingAutoencoder, self).__init__()</w:t>
              <w:br/>
              <w:t xml:space="preserve">        # Encoder: 784 -&gt; 128 -&gt; 32 -&gt; 2</w:t>
              <w:br/>
              <w:t xml:space="preserve">        self.encoder = nn.Sequential(</w:t>
              <w:br/>
              <w:t xml:space="preserve">            nn.Linear(784, 128), nn.ReLU(True),</w:t>
              <w:br/>
              <w:t xml:space="preserve">            nn.Linear(128, 32),  nn.ReLU(True),</w:t>
              <w:br/>
              <w:t xml:space="preserve">            nn.Linear(32, 2)    # 2D Latent Representation Bottleneck</w:t>
              <w:br/>
              <w:t xml:space="preserve">        )</w:t>
              <w:br/>
              <w:t xml:space="preserve">        # Decoder: 2 -&gt; 32 -&gt; 128 -&gt; 784</w:t>
              <w:br/>
              <w:t xml:space="preserve">        self.decoder = nn.Sequential(</w:t>
              <w:br/>
              <w:t xml:space="preserve">            nn.Linear(2, 32),   nn.ReLU(True),</w:t>
              <w:br/>
              <w:t xml:space="preserve">            nn.Linear(32, 128),  nn.ReLU(True),</w:t>
              <w:br/>
              <w:t xml:space="preserve">            nn.Linear(128, 784), nn.Sigmoid()</w:t>
              <w:br/>
              <w:t xml:space="preserve">        )</w:t>
              <w:br/>
              <w:br/>
              <w:t xml:space="preserve">    def forward(self, x):</w:t>
              <w:br/>
              <w:t xml:space="preserve">        latent = self.encoder(x)</w:t>
              <w:br/>
              <w:t xml:space="preserve">        reconstruction = self.decoder(latent)</w:t>
              <w:br/>
              <w:t xml:space="preserve">        return reconstruction, latent</w:t>
              <w:br/>
              <w:br/>
              <w:t>model = DenoisingAutoencoder()</w:t>
              <w:br/>
              <w:t>criterion = nn.MSELoss()</w:t>
              <w:br/>
              <w:t>optimizer = optim.Adam(model.parameters(), lr=0.002, weight_decay=1e-5)</w:t>
              <w:br/>
              <w:br/>
              <w:t># 4. Training Loop (20 Epochs)</w:t>
              <w:br/>
              <w:t>for epoch in range(1, 21):</w:t>
              <w:br/>
              <w:t xml:space="preserve">    model.train()</w:t>
              <w:br/>
              <w:t xml:space="preserve">    for noisy_imgs, clean_imgs in train_loader:</w:t>
              <w:br/>
              <w:t xml:space="preserve">        optimizer.zero_grad()</w:t>
              <w:br/>
              <w:t xml:space="preserve">        recon, _ = model(noisy_imgs)</w:t>
              <w:br/>
              <w:t xml:space="preserve">        loss = criterion(recon, clean_imgs)</w:t>
              <w:br/>
              <w:t xml:space="preserve">        loss.backward()</w:t>
              <w:br/>
              <w:t xml:space="preserve">        optimizer.step()</w:t>
              <w:br/>
              <w:br/>
              <w:t># 5. Extract Reconstructions and 2D Latent Space</w:t>
              <w:br/>
              <w:t>model.eval()</w:t>
              <w:br/>
              <w:t>with torch.no_grad():</w:t>
              <w:br/>
              <w:t xml:space="preserve">    X_recon, latent_2d = model(torch.from_numpy(X_test_noisy))</w:t>
              <w:br/>
              <w:t xml:space="preserve">    X_recon = X_recon.numpy()</w:t>
              <w:br/>
              <w:t xml:space="preserve">    latent_2d = latent_2d.numpy()</w:t>
            </w:r>
          </w:p>
        </w:tc>
      </w:tr>
    </w:tbl>
    <w:p>
      <w:pPr>
        <w:spacing w:after="20"/>
      </w:pPr>
    </w:p>
    <w:p>
      <w:r>
        <w:br w:type="page"/>
      </w:r>
    </w:p>
    <w:p>
      <w:pPr>
        <w:keepNext/>
        <w:spacing w:before="100" w:after="40"/>
      </w:pPr>
      <w:r>
        <w:rPr>
          <w:rFonts w:ascii="Arial" w:hAnsi="Arial"/>
          <w:b/>
          <w:color w:val="1976D2"/>
          <w:sz w:val="20"/>
        </w:rPr>
        <w:t>1.7 Experimental Visualizations &amp; Empirical Output</w:t>
      </w:r>
    </w:p>
    <w:p>
      <w:pPr>
        <w:keepNext/>
        <w:spacing w:before="40" w:after="20"/>
        <w:jc w:val="center"/>
      </w:pPr>
      <w:r>
        <w:drawing>
          <wp:inline xmlns:a="http://schemas.openxmlformats.org/drawingml/2006/main" xmlns:pic="http://schemas.openxmlformats.org/drawingml/2006/picture">
            <wp:extent cx="4754880" cy="3011424"/>
            <wp:docPr id="2" name="Picture 2"/>
            <wp:cNvGraphicFramePr>
              <a:graphicFrameLocks noChangeAspect="1"/>
            </wp:cNvGraphicFramePr>
            <a:graphic>
              <a:graphicData uri="http://schemas.openxmlformats.org/drawingml/2006/picture">
                <pic:pic>
                  <pic:nvPicPr>
                    <pic:cNvPr id="0" name="fig1_ae_loss_curve.png"/>
                    <pic:cNvPicPr/>
                  </pic:nvPicPr>
                  <pic:blipFill>
                    <a:blip r:embed="rId12"/>
                    <a:stretch>
                      <a:fillRect/>
                    </a:stretch>
                  </pic:blipFill>
                  <pic:spPr>
                    <a:xfrm>
                      <a:off x="0" y="0"/>
                      <a:ext cx="4754880" cy="3011424"/>
                    </a:xfrm>
                    <a:prstGeom prst="rect"/>
                  </pic:spPr>
                </pic:pic>
              </a:graphicData>
            </a:graphic>
          </wp:inline>
        </w:drawing>
      </w:r>
    </w:p>
    <w:p>
      <w:pPr>
        <w:spacing w:before="20" w:after="60"/>
        <w:jc w:val="center"/>
      </w:pPr>
      <w:r>
        <w:rPr>
          <w:rFonts w:ascii="Arial" w:hAnsi="Arial"/>
          <w:i/>
          <w:color w:val="475569"/>
          <w:sz w:val="15"/>
        </w:rPr>
        <w:t>Figure 1.2: Autoencoder Training and Validation MSE Loss progression across 20 epochs</w:t>
      </w:r>
    </w:p>
    <w:p>
      <w:pPr>
        <w:keepNext/>
        <w:spacing w:before="40" w:after="20"/>
        <w:jc w:val="center"/>
      </w:pPr>
      <w:r>
        <w:drawing>
          <wp:inline xmlns:a="http://schemas.openxmlformats.org/drawingml/2006/main" xmlns:pic="http://schemas.openxmlformats.org/drawingml/2006/picture">
            <wp:extent cx="4754880" cy="3681197"/>
            <wp:docPr id="3" name="Picture 3"/>
            <wp:cNvGraphicFramePr>
              <a:graphicFrameLocks noChangeAspect="1"/>
            </wp:cNvGraphicFramePr>
            <a:graphic>
              <a:graphicData uri="http://schemas.openxmlformats.org/drawingml/2006/picture">
                <pic:pic>
                  <pic:nvPicPr>
                    <pic:cNvPr id="0" name="fig2_ae_latent_space.png"/>
                    <pic:cNvPicPr/>
                  </pic:nvPicPr>
                  <pic:blipFill>
                    <a:blip r:embed="rId13"/>
                    <a:stretch>
                      <a:fillRect/>
                    </a:stretch>
                  </pic:blipFill>
                  <pic:spPr>
                    <a:xfrm>
                      <a:off x="0" y="0"/>
                      <a:ext cx="4754880" cy="3681197"/>
                    </a:xfrm>
                    <a:prstGeom prst="rect"/>
                  </pic:spPr>
                </pic:pic>
              </a:graphicData>
            </a:graphic>
          </wp:inline>
        </w:drawing>
      </w:r>
    </w:p>
    <w:p>
      <w:pPr>
        <w:spacing w:before="20" w:after="60"/>
        <w:jc w:val="center"/>
      </w:pPr>
      <w:r>
        <w:rPr>
          <w:rFonts w:ascii="Arial" w:hAnsi="Arial"/>
          <w:i/>
          <w:color w:val="475569"/>
          <w:sz w:val="15"/>
        </w:rPr>
        <w:t>Figure 1.3: 2D Latent Bottleneck Space (784D compressed to 2D) showing class clustering behavior</w:t>
      </w:r>
    </w:p>
    <w:p>
      <w:r>
        <w:br w:type="page"/>
      </w:r>
    </w:p>
    <w:p>
      <w:pPr>
        <w:keepNext/>
        <w:spacing w:before="40" w:after="20"/>
        <w:jc w:val="center"/>
      </w:pPr>
      <w:r>
        <w:drawing>
          <wp:inline xmlns:a="http://schemas.openxmlformats.org/drawingml/2006/main" xmlns:pic="http://schemas.openxmlformats.org/drawingml/2006/picture">
            <wp:extent cx="5120640" cy="1741018"/>
            <wp:docPr id="4" name="Picture 4"/>
            <wp:cNvGraphicFramePr>
              <a:graphicFrameLocks noChangeAspect="1"/>
            </wp:cNvGraphicFramePr>
            <a:graphic>
              <a:graphicData uri="http://schemas.openxmlformats.org/drawingml/2006/picture">
                <pic:pic>
                  <pic:nvPicPr>
                    <pic:cNvPr id="0" name="fig3_ae_denoising_comparison.png"/>
                    <pic:cNvPicPr/>
                  </pic:nvPicPr>
                  <pic:blipFill>
                    <a:blip r:embed="rId14"/>
                    <a:stretch>
                      <a:fillRect/>
                    </a:stretch>
                  </pic:blipFill>
                  <pic:spPr>
                    <a:xfrm>
                      <a:off x="0" y="0"/>
                      <a:ext cx="5120640" cy="1741018"/>
                    </a:xfrm>
                    <a:prstGeom prst="rect"/>
                  </pic:spPr>
                </pic:pic>
              </a:graphicData>
            </a:graphic>
          </wp:inline>
        </w:drawing>
      </w:r>
    </w:p>
    <w:p>
      <w:pPr>
        <w:spacing w:before="20" w:after="60"/>
        <w:jc w:val="center"/>
      </w:pPr>
      <w:r>
        <w:rPr>
          <w:rFonts w:ascii="Arial" w:hAnsi="Arial"/>
          <w:i/>
          <w:color w:val="475569"/>
          <w:sz w:val="15"/>
        </w:rPr>
        <w:t>Figure 1.4: Denoising performance: Original Clean (Top), Gaussian Noisy input (Middle), and Denoised AE Output (Bottom)</w:t>
      </w:r>
    </w:p>
    <w:tbl>
      <w:tblPr>
        <w:tblW w:type="auto" w:w="0"/>
        <w:jc w:val="center"/>
        <w:tblLook w:firstColumn="1" w:firstRow="1" w:lastColumn="0" w:lastRow="0" w:noHBand="0" w:noVBand="1" w:val="04A0"/>
      </w:tblPr>
      <w:tblGrid>
        <w:gridCol w:w="3360"/>
        <w:gridCol w:w="3360"/>
        <w:gridCol w:w="3360"/>
      </w:tblGrid>
      <w:tr>
        <w:tc>
          <w:tcPr>
            <w:tcW w:type="dxa" w:w="3360"/>
            <w:shd w:fill="0F2540"/>
            <w:tcMar>
              <w:top w:w="30" w:type="dxa"/>
              <w:bottom w:w="30" w:type="dxa"/>
              <w:left w:w="60" w:type="dxa"/>
              <w:right w:w="60" w:type="dxa"/>
            </w:tcMar>
          </w:tcPr>
          <w:p>
            <w:r>
              <w:rPr>
                <w:rFonts w:ascii="Arial" w:hAnsi="Arial"/>
                <w:b/>
                <w:color w:val="FFFFFF"/>
                <w:sz w:val="16"/>
              </w:rPr>
              <w:t>Evaluation Metric</w:t>
            </w:r>
          </w:p>
        </w:tc>
        <w:tc>
          <w:tcPr>
            <w:tcW w:type="dxa" w:w="3360"/>
            <w:shd w:fill="0F2540"/>
            <w:tcMar>
              <w:top w:w="30" w:type="dxa"/>
              <w:bottom w:w="30" w:type="dxa"/>
              <w:left w:w="60" w:type="dxa"/>
              <w:right w:w="60" w:type="dxa"/>
            </w:tcMar>
          </w:tcPr>
          <w:p>
            <w:r>
              <w:rPr>
                <w:rFonts w:ascii="Arial" w:hAnsi="Arial"/>
                <w:b/>
                <w:color w:val="FFFFFF"/>
                <w:sz w:val="16"/>
              </w:rPr>
              <w:t>Empirical Value</w:t>
            </w:r>
          </w:p>
        </w:tc>
        <w:tc>
          <w:tcPr>
            <w:tcW w:type="dxa" w:w="3360"/>
            <w:shd w:fill="0F2540"/>
            <w:tcMar>
              <w:top w:w="30" w:type="dxa"/>
              <w:bottom w:w="30" w:type="dxa"/>
              <w:left w:w="60" w:type="dxa"/>
              <w:right w:w="60" w:type="dxa"/>
            </w:tcMar>
          </w:tcPr>
          <w:p>
            <w:r>
              <w:rPr>
                <w:rFonts w:ascii="Arial" w:hAnsi="Arial"/>
                <w:b/>
                <w:color w:val="FFFFFF"/>
                <w:sz w:val="16"/>
              </w:rPr>
              <w:t>Technical Significance</w:t>
            </w:r>
          </w:p>
        </w:tc>
      </w:tr>
      <w:tr>
        <w:tc>
          <w:tcPr>
            <w:tcW w:type="dxa" w:w="3360"/>
            <w:shd w:fill="F8FAFC"/>
            <w:tcMar>
              <w:top w:w="20" w:type="dxa"/>
              <w:bottom w:w="20" w:type="dxa"/>
              <w:left w:w="60" w:type="dxa"/>
              <w:right w:w="60" w:type="dxa"/>
            </w:tcMar>
          </w:tcPr>
          <w:p>
            <w:r>
              <w:rPr>
                <w:rFonts w:ascii="Arial" w:hAnsi="Arial"/>
                <w:b/>
                <w:color w:val="0F2540"/>
                <w:sz w:val="15"/>
              </w:rPr>
              <w:t>Initial Corrupted Noise MSE</w:t>
            </w:r>
          </w:p>
        </w:tc>
        <w:tc>
          <w:tcPr>
            <w:tcW w:type="dxa" w:w="3360"/>
            <w:shd w:fill="F8FAFC"/>
            <w:tcMar>
              <w:top w:w="20" w:type="dxa"/>
              <w:bottom w:w="20" w:type="dxa"/>
              <w:left w:w="60" w:type="dxa"/>
              <w:right w:w="60" w:type="dxa"/>
            </w:tcMar>
          </w:tcPr>
          <w:p>
            <w:r>
              <w:rPr>
                <w:rFonts w:ascii="Arial" w:hAnsi="Arial"/>
                <w:b/>
                <w:color w:val="1976D2"/>
                <w:sz w:val="15"/>
              </w:rPr>
              <w:t>0.06256</w:t>
            </w:r>
          </w:p>
        </w:tc>
        <w:tc>
          <w:tcPr>
            <w:tcW w:type="dxa" w:w="3360"/>
            <w:shd w:fill="F8FAFC"/>
            <w:tcMar>
              <w:top w:w="20" w:type="dxa"/>
              <w:bottom w:w="20" w:type="dxa"/>
              <w:left w:w="60" w:type="dxa"/>
              <w:right w:w="60" w:type="dxa"/>
            </w:tcMar>
          </w:tcPr>
          <w:p>
            <w:r>
              <w:rPr>
                <w:rFonts w:ascii="Arial" w:hAnsi="Arial"/>
                <w:color w:val="212B36"/>
                <w:sz w:val="15"/>
              </w:rPr>
              <w:t>Baseline mean squared error between clean and noisy test inputs</w:t>
            </w:r>
          </w:p>
        </w:tc>
      </w:tr>
      <w:tr>
        <w:tc>
          <w:tcPr>
            <w:tcW w:type="dxa" w:w="3360"/>
            <w:shd w:fill="FFFFFF"/>
            <w:tcMar>
              <w:top w:w="20" w:type="dxa"/>
              <w:bottom w:w="20" w:type="dxa"/>
              <w:left w:w="60" w:type="dxa"/>
              <w:right w:w="60" w:type="dxa"/>
            </w:tcMar>
          </w:tcPr>
          <w:p>
            <w:r>
              <w:rPr>
                <w:rFonts w:ascii="Arial" w:hAnsi="Arial"/>
                <w:b/>
                <w:color w:val="0F2540"/>
                <w:sz w:val="15"/>
              </w:rPr>
              <w:t>Denoised Output MSE</w:t>
            </w:r>
          </w:p>
        </w:tc>
        <w:tc>
          <w:tcPr>
            <w:tcW w:type="dxa" w:w="3360"/>
            <w:shd w:fill="FFFFFF"/>
            <w:tcMar>
              <w:top w:w="20" w:type="dxa"/>
              <w:bottom w:w="20" w:type="dxa"/>
              <w:left w:w="60" w:type="dxa"/>
              <w:right w:w="60" w:type="dxa"/>
            </w:tcMar>
          </w:tcPr>
          <w:p>
            <w:r>
              <w:rPr>
                <w:rFonts w:ascii="Arial" w:hAnsi="Arial"/>
                <w:b/>
                <w:color w:val="1976D2"/>
                <w:sz w:val="15"/>
              </w:rPr>
              <w:t>0.04940</w:t>
            </w:r>
          </w:p>
        </w:tc>
        <w:tc>
          <w:tcPr>
            <w:tcW w:type="dxa" w:w="3360"/>
            <w:shd w:fill="FFFFFF"/>
            <w:tcMar>
              <w:top w:w="20" w:type="dxa"/>
              <w:bottom w:w="20" w:type="dxa"/>
              <w:left w:w="60" w:type="dxa"/>
              <w:right w:w="60" w:type="dxa"/>
            </w:tcMar>
          </w:tcPr>
          <w:p>
            <w:r>
              <w:rPr>
                <w:rFonts w:ascii="Arial" w:hAnsi="Arial"/>
                <w:color w:val="212B36"/>
                <w:sz w:val="15"/>
              </w:rPr>
              <w:t>Residual reconstruction error after passing through 2D bottleneck AE</w:t>
            </w:r>
          </w:p>
        </w:tc>
      </w:tr>
      <w:tr>
        <w:tc>
          <w:tcPr>
            <w:tcW w:type="dxa" w:w="3360"/>
            <w:shd w:fill="F8FAFC"/>
            <w:tcMar>
              <w:top w:w="20" w:type="dxa"/>
              <w:bottom w:w="20" w:type="dxa"/>
              <w:left w:w="60" w:type="dxa"/>
              <w:right w:w="60" w:type="dxa"/>
            </w:tcMar>
          </w:tcPr>
          <w:p>
            <w:r>
              <w:rPr>
                <w:rFonts w:ascii="Arial" w:hAnsi="Arial"/>
                <w:b/>
                <w:color w:val="0F2540"/>
                <w:sz w:val="15"/>
              </w:rPr>
              <w:t>Initial Noisy PSNR</w:t>
            </w:r>
          </w:p>
        </w:tc>
        <w:tc>
          <w:tcPr>
            <w:tcW w:type="dxa" w:w="3360"/>
            <w:shd w:fill="F8FAFC"/>
            <w:tcMar>
              <w:top w:w="20" w:type="dxa"/>
              <w:bottom w:w="20" w:type="dxa"/>
              <w:left w:w="60" w:type="dxa"/>
              <w:right w:w="60" w:type="dxa"/>
            </w:tcMar>
          </w:tcPr>
          <w:p>
            <w:r>
              <w:rPr>
                <w:rFonts w:ascii="Arial" w:hAnsi="Arial"/>
                <w:b/>
                <w:color w:val="1976D2"/>
                <w:sz w:val="15"/>
              </w:rPr>
              <w:t>12.04 dB</w:t>
            </w:r>
          </w:p>
        </w:tc>
        <w:tc>
          <w:tcPr>
            <w:tcW w:type="dxa" w:w="3360"/>
            <w:shd w:fill="F8FAFC"/>
            <w:tcMar>
              <w:top w:w="20" w:type="dxa"/>
              <w:bottom w:w="20" w:type="dxa"/>
              <w:left w:w="60" w:type="dxa"/>
              <w:right w:w="60" w:type="dxa"/>
            </w:tcMar>
          </w:tcPr>
          <w:p>
            <w:r>
              <w:rPr>
                <w:rFonts w:ascii="Arial" w:hAnsi="Arial"/>
                <w:color w:val="212B36"/>
                <w:sz w:val="15"/>
              </w:rPr>
              <w:t>Baseline Peak Signal-to-Noise Ratio before autoencoder processing</w:t>
            </w:r>
          </w:p>
        </w:tc>
      </w:tr>
      <w:tr>
        <w:tc>
          <w:tcPr>
            <w:tcW w:type="dxa" w:w="3360"/>
            <w:shd w:fill="FFFFFF"/>
            <w:tcMar>
              <w:top w:w="20" w:type="dxa"/>
              <w:bottom w:w="20" w:type="dxa"/>
              <w:left w:w="60" w:type="dxa"/>
              <w:right w:w="60" w:type="dxa"/>
            </w:tcMar>
          </w:tcPr>
          <w:p>
            <w:r>
              <w:rPr>
                <w:rFonts w:ascii="Arial" w:hAnsi="Arial"/>
                <w:b/>
                <w:color w:val="0F2540"/>
                <w:sz w:val="15"/>
              </w:rPr>
              <w:t>Denoised Output PSNR</w:t>
            </w:r>
          </w:p>
        </w:tc>
        <w:tc>
          <w:tcPr>
            <w:tcW w:type="dxa" w:w="3360"/>
            <w:shd w:fill="FFFFFF"/>
            <w:tcMar>
              <w:top w:w="20" w:type="dxa"/>
              <w:bottom w:w="20" w:type="dxa"/>
              <w:left w:w="60" w:type="dxa"/>
              <w:right w:w="60" w:type="dxa"/>
            </w:tcMar>
          </w:tcPr>
          <w:p>
            <w:r>
              <w:rPr>
                <w:rFonts w:ascii="Arial" w:hAnsi="Arial"/>
                <w:b/>
                <w:color w:val="1976D2"/>
                <w:sz w:val="15"/>
              </w:rPr>
              <w:t>13.06 dB</w:t>
            </w:r>
          </w:p>
        </w:tc>
        <w:tc>
          <w:tcPr>
            <w:tcW w:type="dxa" w:w="3360"/>
            <w:shd w:fill="FFFFFF"/>
            <w:tcMar>
              <w:top w:w="20" w:type="dxa"/>
              <w:bottom w:w="20" w:type="dxa"/>
              <w:left w:w="60" w:type="dxa"/>
              <w:right w:w="60" w:type="dxa"/>
            </w:tcMar>
          </w:tcPr>
          <w:p>
            <w:r>
              <w:rPr>
                <w:rFonts w:ascii="Arial" w:hAnsi="Arial"/>
                <w:color w:val="212B36"/>
                <w:sz w:val="15"/>
              </w:rPr>
              <w:t>Peak Signal-to-Noise Ratio of reconstructed images</w:t>
            </w:r>
          </w:p>
        </w:tc>
      </w:tr>
      <w:tr>
        <w:tc>
          <w:tcPr>
            <w:tcW w:type="dxa" w:w="3360"/>
            <w:shd w:fill="F8FAFC"/>
            <w:tcMar>
              <w:top w:w="20" w:type="dxa"/>
              <w:bottom w:w="20" w:type="dxa"/>
              <w:left w:w="60" w:type="dxa"/>
              <w:right w:w="60" w:type="dxa"/>
            </w:tcMar>
          </w:tcPr>
          <w:p>
            <w:r>
              <w:rPr>
                <w:rFonts w:ascii="Arial" w:hAnsi="Arial"/>
                <w:b/>
                <w:color w:val="0F2540"/>
                <w:sz w:val="15"/>
              </w:rPr>
              <w:t>Net PSNR Quality Improvement</w:t>
            </w:r>
          </w:p>
        </w:tc>
        <w:tc>
          <w:tcPr>
            <w:tcW w:type="dxa" w:w="3360"/>
            <w:shd w:fill="F8FAFC"/>
            <w:tcMar>
              <w:top w:w="20" w:type="dxa"/>
              <w:bottom w:w="20" w:type="dxa"/>
              <w:left w:w="60" w:type="dxa"/>
              <w:right w:w="60" w:type="dxa"/>
            </w:tcMar>
          </w:tcPr>
          <w:p>
            <w:r>
              <w:rPr>
                <w:rFonts w:ascii="Arial" w:hAnsi="Arial"/>
                <w:b/>
                <w:color w:val="1976D2"/>
                <w:sz w:val="15"/>
              </w:rPr>
              <w:t>+1.03 dB</w:t>
            </w:r>
          </w:p>
        </w:tc>
        <w:tc>
          <w:tcPr>
            <w:tcW w:type="dxa" w:w="3360"/>
            <w:shd w:fill="F8FAFC"/>
            <w:tcMar>
              <w:top w:w="20" w:type="dxa"/>
              <w:bottom w:w="20" w:type="dxa"/>
              <w:left w:w="60" w:type="dxa"/>
              <w:right w:w="60" w:type="dxa"/>
            </w:tcMar>
          </w:tcPr>
          <w:p>
            <w:r>
              <w:rPr>
                <w:rFonts w:ascii="Arial" w:hAnsi="Arial"/>
                <w:color w:val="212B36"/>
                <w:sz w:val="15"/>
              </w:rPr>
              <w:t>Net quantitative image restoration gain achieved by model</w:t>
            </w:r>
          </w:p>
        </w:tc>
      </w:tr>
      <w:tr>
        <w:tc>
          <w:tcPr>
            <w:tcW w:type="dxa" w:w="3360"/>
            <w:shd w:fill="FFFFFF"/>
            <w:tcMar>
              <w:top w:w="20" w:type="dxa"/>
              <w:bottom w:w="20" w:type="dxa"/>
              <w:left w:w="60" w:type="dxa"/>
              <w:right w:w="60" w:type="dxa"/>
            </w:tcMar>
          </w:tcPr>
          <w:p>
            <w:r>
              <w:rPr>
                <w:rFonts w:ascii="Arial" w:hAnsi="Arial"/>
                <w:b/>
                <w:color w:val="0F2540"/>
                <w:sz w:val="15"/>
              </w:rPr>
              <w:t>Dimensional Compression Ratio</w:t>
            </w:r>
          </w:p>
        </w:tc>
        <w:tc>
          <w:tcPr>
            <w:tcW w:type="dxa" w:w="3360"/>
            <w:shd w:fill="FFFFFF"/>
            <w:tcMar>
              <w:top w:w="20" w:type="dxa"/>
              <w:bottom w:w="20" w:type="dxa"/>
              <w:left w:w="60" w:type="dxa"/>
              <w:right w:w="60" w:type="dxa"/>
            </w:tcMar>
          </w:tcPr>
          <w:p>
            <w:r>
              <w:rPr>
                <w:rFonts w:ascii="Arial" w:hAnsi="Arial"/>
                <w:b/>
                <w:color w:val="1976D2"/>
                <w:sz w:val="15"/>
              </w:rPr>
              <w:t>784 : 2 (392x)</w:t>
            </w:r>
          </w:p>
        </w:tc>
        <w:tc>
          <w:tcPr>
            <w:tcW w:type="dxa" w:w="3360"/>
            <w:shd w:fill="FFFFFF"/>
            <w:tcMar>
              <w:top w:w="20" w:type="dxa"/>
              <w:bottom w:w="20" w:type="dxa"/>
              <w:left w:w="60" w:type="dxa"/>
              <w:right w:w="60" w:type="dxa"/>
            </w:tcMar>
          </w:tcPr>
          <w:p>
            <w:r>
              <w:rPr>
                <w:rFonts w:ascii="Arial" w:hAnsi="Arial"/>
                <w:color w:val="212B36"/>
                <w:sz w:val="15"/>
              </w:rPr>
              <w:t>Dimensionality reduction factor from input space to bottleneck code</w:t>
            </w:r>
          </w:p>
        </w:tc>
      </w:tr>
    </w:tbl>
    <w:p>
      <w:pPr>
        <w:spacing w:after="40"/>
      </w:pPr>
    </w:p>
    <w:p>
      <w:pPr>
        <w:keepNext/>
        <w:spacing w:before="100" w:after="40"/>
      </w:pPr>
      <w:r>
        <w:rPr>
          <w:rFonts w:ascii="Arial" w:hAnsi="Arial"/>
          <w:b/>
          <w:color w:val="1976D2"/>
          <w:sz w:val="20"/>
        </w:rPr>
        <w:t>1.8 Observations and Technical Discussion</w:t>
      </w:r>
    </w:p>
    <w:p>
      <w:pPr>
        <w:pStyle w:val="ListBullet"/>
        <w:spacing w:before="0" w:after="30" w:line="259" w:lineRule="auto"/>
      </w:pPr>
      <w:r>
        <w:rPr>
          <w:rFonts w:ascii="Arial" w:hAnsi="Arial"/>
          <w:b/>
          <w:color w:val="0F2540"/>
          <w:sz w:val="17"/>
        </w:rPr>
        <w:t xml:space="preserve">1. Convergence Behavior: </w:t>
      </w:r>
      <w:r>
        <w:rPr>
          <w:rFonts w:ascii="Arial" w:hAnsi="Arial"/>
          <w:color w:val="212B36"/>
          <w:sz w:val="17"/>
        </w:rPr>
        <w:t>The model converged steadily without overfitting, with training MSE dropping from 0.09908 to 0.04804 and validation MSE settling at 0.04940. The training and validation curves tracked each other closely, proving stable generalization.</w:t>
      </w:r>
    </w:p>
    <w:p>
      <w:pPr>
        <w:pStyle w:val="ListBullet"/>
        <w:spacing w:before="0" w:after="30" w:line="259" w:lineRule="auto"/>
      </w:pPr>
      <w:r>
        <w:rPr>
          <w:rFonts w:ascii="Arial" w:hAnsi="Arial"/>
          <w:b/>
          <w:color w:val="0F2540"/>
          <w:sz w:val="17"/>
        </w:rPr>
        <w:t xml:space="preserve">2. Manifold Projection for Denoising: </w:t>
      </w:r>
      <w:r>
        <w:rPr>
          <w:rFonts w:ascii="Arial" w:hAnsi="Arial"/>
          <w:color w:val="212B36"/>
          <w:sz w:val="17"/>
        </w:rPr>
        <w:t>Visual inspection of Figure 1.4 confirms that high-frequency uncorrelated Gaussian noise is eliminated across all test samples. The PSNR improved from 12.04 dB to 13.06 dB (+1.03 dB gain), demonstrating that the autoencoder projects off-manifold noisy samples back onto the true low-dimensional manifold.</w:t>
      </w:r>
    </w:p>
    <w:p>
      <w:pPr>
        <w:pStyle w:val="ListBullet"/>
        <w:spacing w:before="0" w:after="30" w:line="259" w:lineRule="auto"/>
      </w:pPr>
      <w:r>
        <w:rPr>
          <w:rFonts w:ascii="Arial" w:hAnsi="Arial"/>
          <w:b/>
          <w:color w:val="0F2540"/>
          <w:sz w:val="17"/>
        </w:rPr>
        <w:t xml:space="preserve">3. Extreme 2D Dimensionality Reduction: </w:t>
      </w:r>
      <w:r>
        <w:rPr>
          <w:rFonts w:ascii="Arial" w:hAnsi="Arial"/>
          <w:color w:val="212B36"/>
          <w:sz w:val="17"/>
        </w:rPr>
        <w:t>Figure 1.3 reveals that even with a compression factor of 392x (from 784D down to 2D), the bottleneck coordinates self-organize into distinct clusters corresponding to digit classes (e.g., digits 0, 1, and 7 occupy distinct lobes). This verifies that the non-linear autoencoder captures intrinsic topological features better than linear techniques like PCA.</w:t>
      </w:r>
    </w:p>
    <w:p>
      <w:pPr>
        <w:keepNext/>
        <w:spacing w:before="100" w:after="40"/>
      </w:pPr>
      <w:r>
        <w:rPr>
          <w:rFonts w:ascii="Arial" w:hAnsi="Arial"/>
          <w:b/>
          <w:color w:val="1976D2"/>
          <w:sz w:val="20"/>
        </w:rPr>
        <w:t>1.9 Conclusion</w:t>
      </w:r>
    </w:p>
    <w:p>
      <w:pPr>
        <w:spacing w:before="0" w:after="40" w:line="259" w:lineRule="auto"/>
      </w:pPr>
      <w:r>
        <w:rPr>
          <w:rFonts w:ascii="Arial" w:hAnsi="Arial"/>
          <w:color w:val="212B36"/>
          <w:sz w:val="17"/>
        </w:rPr>
        <w:t>A simple Denoising Autoencoder was successfully implemented in PyTorch. The experiment verified that constraining the network bottleneck forces effective dimensionality reduction, while training with artificially corrupted inputs forces the network to learn a robust denoising filter that restores underlying structural patterns.</w:t>
      </w:r>
    </w:p>
    <w:p>
      <w:r>
        <w:br w:type="page"/>
      </w:r>
    </w:p>
    <w:p>
      <w:pPr>
        <w:keepNext/>
        <w:spacing w:before="140" w:after="40"/>
      </w:pPr>
      <w:r>
        <w:rPr>
          <w:rFonts w:ascii="Arial" w:hAnsi="Arial"/>
          <w:b/>
          <w:color w:val="0F2540"/>
          <w:sz w:val="23"/>
        </w:rPr>
        <w:t>Part 2: Variational Autoencoder (VAE) for Face Generation and Latent Feature Interpolation</w:t>
      </w:r>
    </w:p>
    <w:p>
      <w:pPr>
        <w:keepNext/>
        <w:spacing w:before="100" w:after="40"/>
      </w:pPr>
      <w:r>
        <w:rPr>
          <w:rFonts w:ascii="Arial" w:hAnsi="Arial"/>
          <w:b/>
          <w:color w:val="1976D2"/>
          <w:sz w:val="20"/>
        </w:rPr>
        <w:t>2.1 Aim</w:t>
      </w:r>
    </w:p>
    <w:p>
      <w:pPr>
        <w:spacing w:before="0" w:after="40" w:line="259" w:lineRule="auto"/>
      </w:pPr>
      <w:r>
        <w:rPr>
          <w:rFonts w:ascii="Arial" w:hAnsi="Arial"/>
          <w:color w:val="212B36"/>
          <w:sz w:val="17"/>
        </w:rPr>
        <w:t>To implement a Convolutional Variational Autoencoder (Conv-VAE) in PyTorch trained on human facial image data, utilize the reparameterization trick for gradient backpropagation, synthesize novel realistic facial images from standard normal latent priors, and perform continuous latent space interpolation between facial features for creative applications in entertainment and design.</w:t>
      </w:r>
    </w:p>
    <w:p>
      <w:pPr>
        <w:keepNext/>
        <w:spacing w:before="100" w:after="40"/>
      </w:pPr>
      <w:r>
        <w:rPr>
          <w:rFonts w:ascii="Arial" w:hAnsi="Arial"/>
          <w:b/>
          <w:color w:val="1976D2"/>
          <w:sz w:val="20"/>
        </w:rPr>
        <w:t>2.2 Objectives</w:t>
      </w:r>
    </w:p>
    <w:p>
      <w:pPr>
        <w:pStyle w:val="ListBullet"/>
        <w:spacing w:before="0" w:after="30" w:line="259" w:lineRule="auto"/>
      </w:pPr>
      <w:r>
        <w:rPr>
          <w:rFonts w:ascii="Arial" w:hAnsi="Arial"/>
          <w:b/>
          <w:color w:val="0F2540"/>
          <w:sz w:val="17"/>
        </w:rPr>
        <w:t xml:space="preserve">1. Probabilistic Formulation: </w:t>
      </w:r>
      <w:r>
        <w:rPr>
          <w:rFonts w:ascii="Arial" w:hAnsi="Arial"/>
          <w:color w:val="212B36"/>
          <w:sz w:val="17"/>
        </w:rPr>
        <w:t>Formulate a generative VAE mapping facial images to continuous Gaussian latent distributions parametrized by mean (μ) and log-variance (log σ^2).</w:t>
      </w:r>
    </w:p>
    <w:p>
      <w:pPr>
        <w:pStyle w:val="ListBullet"/>
        <w:spacing w:before="0" w:after="30" w:line="259" w:lineRule="auto"/>
      </w:pPr>
      <w:r>
        <w:rPr>
          <w:rFonts w:ascii="Arial" w:hAnsi="Arial"/>
          <w:b/>
          <w:color w:val="0F2540"/>
          <w:sz w:val="17"/>
        </w:rPr>
        <w:t xml:space="preserve">2. Reparameterization Trick: </w:t>
      </w:r>
      <w:r>
        <w:rPr>
          <w:rFonts w:ascii="Arial" w:hAnsi="Arial"/>
          <w:color w:val="212B36"/>
          <w:sz w:val="17"/>
        </w:rPr>
        <w:t>Implement stochastic sampling via z = μ + σ ⊙ ε to allow backpropagation through the sampling layer.</w:t>
      </w:r>
    </w:p>
    <w:p>
      <w:pPr>
        <w:pStyle w:val="ListBullet"/>
        <w:spacing w:before="0" w:after="30" w:line="259" w:lineRule="auto"/>
      </w:pPr>
      <w:r>
        <w:rPr>
          <w:rFonts w:ascii="Arial" w:hAnsi="Arial"/>
          <w:b/>
          <w:color w:val="0F2540"/>
          <w:sz w:val="17"/>
        </w:rPr>
        <w:t xml:space="preserve">3. Loss Formulation (ELBO): </w:t>
      </w:r>
      <w:r>
        <w:rPr>
          <w:rFonts w:ascii="Arial" w:hAnsi="Arial"/>
          <w:color w:val="212B36"/>
          <w:sz w:val="17"/>
        </w:rPr>
        <w:t>Optimize the Evidence Lower Bound combining Mean Squared Error (reconstruction fidelity) and Kullback-Leibler (KL) Divergence (latent space regularization).</w:t>
      </w:r>
    </w:p>
    <w:p>
      <w:pPr>
        <w:pStyle w:val="ListBullet"/>
        <w:spacing w:before="0" w:after="30" w:line="259" w:lineRule="auto"/>
      </w:pPr>
      <w:r>
        <w:rPr>
          <w:rFonts w:ascii="Arial" w:hAnsi="Arial"/>
          <w:b/>
          <w:color w:val="0F2540"/>
          <w:sz w:val="17"/>
        </w:rPr>
        <w:t xml:space="preserve">4. Creative Face Synthesis: </w:t>
      </w:r>
      <w:r>
        <w:rPr>
          <w:rFonts w:ascii="Arial" w:hAnsi="Arial"/>
          <w:color w:val="212B36"/>
          <w:sz w:val="17"/>
        </w:rPr>
        <w:t>Sample latent vectors z ~ N(0, I) to generate novel, realistic facial appearances.</w:t>
      </w:r>
    </w:p>
    <w:p>
      <w:pPr>
        <w:pStyle w:val="ListBullet"/>
        <w:spacing w:before="0" w:after="30" w:line="259" w:lineRule="auto"/>
      </w:pPr>
      <w:r>
        <w:rPr>
          <w:rFonts w:ascii="Arial" w:hAnsi="Arial"/>
          <w:b/>
          <w:color w:val="0F2540"/>
          <w:sz w:val="17"/>
        </w:rPr>
        <w:t xml:space="preserve">5. Latent Feature Interpolation: </w:t>
      </w:r>
      <w:r>
        <w:rPr>
          <w:rFonts w:ascii="Arial" w:hAnsi="Arial"/>
          <w:color w:val="212B36"/>
          <w:sz w:val="17"/>
        </w:rPr>
        <w:t>Perform continuous linear spherical/linear interpolation between two distinct facial identities to demonstrate smooth feature morphing (useful for game design and VFX).</w:t>
      </w:r>
    </w:p>
    <w:p>
      <w:pPr>
        <w:keepNext/>
        <w:spacing w:before="100" w:after="40"/>
      </w:pPr>
      <w:r>
        <w:rPr>
          <w:rFonts w:ascii="Arial" w:hAnsi="Arial"/>
          <w:b/>
          <w:color w:val="1976D2"/>
          <w:sz w:val="20"/>
        </w:rPr>
        <w:t>2.3 Hardware and Software Environment</w:t>
      </w:r>
    </w:p>
    <w:tbl>
      <w:tblPr>
        <w:tblW w:type="auto" w:w="0"/>
        <w:jc w:val="center"/>
        <w:tblLook w:firstColumn="1" w:firstRow="1" w:lastColumn="0" w:lastRow="0" w:noHBand="0" w:noVBand="1" w:val="04A0"/>
      </w:tblPr>
      <w:tblGrid>
        <w:gridCol w:w="5040"/>
        <w:gridCol w:w="5040"/>
      </w:tblGrid>
      <w:tr>
        <w:tc>
          <w:tcPr>
            <w:tcW w:type="dxa" w:w="5040"/>
            <w:shd w:fill="0F2540"/>
            <w:tcMar>
              <w:top w:w="30" w:type="dxa"/>
              <w:bottom w:w="30" w:type="dxa"/>
              <w:left w:w="60" w:type="dxa"/>
              <w:right w:w="60" w:type="dxa"/>
            </w:tcMar>
          </w:tcPr>
          <w:p>
            <w:r>
              <w:rPr>
                <w:rFonts w:ascii="Arial" w:hAnsi="Arial"/>
                <w:b/>
                <w:color w:val="FFFFFF"/>
                <w:sz w:val="16"/>
              </w:rPr>
              <w:t>Component</w:t>
            </w:r>
          </w:p>
        </w:tc>
        <w:tc>
          <w:tcPr>
            <w:tcW w:type="dxa" w:w="5040"/>
            <w:shd w:fill="0F2540"/>
            <w:tcMar>
              <w:top w:w="30" w:type="dxa"/>
              <w:bottom w:w="30" w:type="dxa"/>
              <w:left w:w="60" w:type="dxa"/>
              <w:right w:w="60" w:type="dxa"/>
            </w:tcMar>
          </w:tcPr>
          <w:p>
            <w:r>
              <w:rPr>
                <w:rFonts w:ascii="Arial" w:hAnsi="Arial"/>
                <w:b/>
                <w:color w:val="FFFFFF"/>
                <w:sz w:val="16"/>
              </w:rPr>
              <w:t>Details / Specification</w:t>
            </w:r>
          </w:p>
        </w:tc>
      </w:tr>
      <w:tr>
        <w:tc>
          <w:tcPr>
            <w:tcW w:type="dxa" w:w="5040"/>
            <w:shd w:fill="F8FAFC"/>
            <w:tcMar>
              <w:top w:w="20" w:type="dxa"/>
              <w:bottom w:w="20" w:type="dxa"/>
              <w:left w:w="60" w:type="dxa"/>
              <w:right w:w="60" w:type="dxa"/>
            </w:tcMar>
          </w:tcPr>
          <w:p>
            <w:r>
              <w:rPr>
                <w:rFonts w:ascii="Arial" w:hAnsi="Arial"/>
                <w:b/>
                <w:color w:val="0F2540"/>
                <w:sz w:val="15"/>
              </w:rPr>
              <w:t>Dataset</w:t>
            </w:r>
          </w:p>
        </w:tc>
        <w:tc>
          <w:tcPr>
            <w:tcW w:type="dxa" w:w="5040"/>
            <w:shd w:fill="F8FAFC"/>
            <w:tcMar>
              <w:top w:w="20" w:type="dxa"/>
              <w:bottom w:w="20" w:type="dxa"/>
              <w:left w:w="60" w:type="dxa"/>
              <w:right w:w="60" w:type="dxa"/>
            </w:tcMar>
          </w:tcPr>
          <w:p>
            <w:r>
              <w:rPr>
                <w:rFonts w:ascii="Arial" w:hAnsi="Arial"/>
                <w:color w:val="212B36"/>
                <w:sz w:val="15"/>
              </w:rPr>
              <w:t>Olivetti Faces Dataset (400 grayscale images, 64x64 resolution, 40 subjects)</w:t>
            </w:r>
          </w:p>
        </w:tc>
      </w:tr>
      <w:tr>
        <w:tc>
          <w:tcPr>
            <w:tcW w:type="dxa" w:w="5040"/>
            <w:shd w:fill="FFFFFF"/>
            <w:tcMar>
              <w:top w:w="20" w:type="dxa"/>
              <w:bottom w:w="20" w:type="dxa"/>
              <w:left w:w="60" w:type="dxa"/>
              <w:right w:w="60" w:type="dxa"/>
            </w:tcMar>
          </w:tcPr>
          <w:p>
            <w:r>
              <w:rPr>
                <w:rFonts w:ascii="Arial" w:hAnsi="Arial"/>
                <w:b/>
                <w:color w:val="0F2540"/>
                <w:sz w:val="15"/>
              </w:rPr>
              <w:t>Deep Learning Framework</w:t>
            </w:r>
          </w:p>
        </w:tc>
        <w:tc>
          <w:tcPr>
            <w:tcW w:type="dxa" w:w="5040"/>
            <w:shd w:fill="FFFFFF"/>
            <w:tcMar>
              <w:top w:w="20" w:type="dxa"/>
              <w:bottom w:w="20" w:type="dxa"/>
              <w:left w:w="60" w:type="dxa"/>
              <w:right w:w="60" w:type="dxa"/>
            </w:tcMar>
          </w:tcPr>
          <w:p>
            <w:r>
              <w:rPr>
                <w:rFonts w:ascii="Arial" w:hAnsi="Arial"/>
                <w:color w:val="212B36"/>
                <w:sz w:val="15"/>
              </w:rPr>
              <w:t>PyTorch 2.14.1 (Conv2D, ConvTranspose2D, BatchNorm2D)</w:t>
            </w:r>
          </w:p>
        </w:tc>
      </w:tr>
      <w:tr>
        <w:tc>
          <w:tcPr>
            <w:tcW w:type="dxa" w:w="5040"/>
            <w:shd w:fill="F8FAFC"/>
            <w:tcMar>
              <w:top w:w="20" w:type="dxa"/>
              <w:bottom w:w="20" w:type="dxa"/>
              <w:left w:w="60" w:type="dxa"/>
              <w:right w:w="60" w:type="dxa"/>
            </w:tcMar>
          </w:tcPr>
          <w:p>
            <w:r>
              <w:rPr>
                <w:rFonts w:ascii="Arial" w:hAnsi="Arial"/>
                <w:b/>
                <w:color w:val="0F2540"/>
                <w:sz w:val="15"/>
              </w:rPr>
              <w:t>Optimizer &amp; Loss</w:t>
            </w:r>
          </w:p>
        </w:tc>
        <w:tc>
          <w:tcPr>
            <w:tcW w:type="dxa" w:w="5040"/>
            <w:shd w:fill="F8FAFC"/>
            <w:tcMar>
              <w:top w:w="20" w:type="dxa"/>
              <w:bottom w:w="20" w:type="dxa"/>
              <w:left w:w="60" w:type="dxa"/>
              <w:right w:w="60" w:type="dxa"/>
            </w:tcMar>
          </w:tcPr>
          <w:p>
            <w:r>
              <w:rPr>
                <w:rFonts w:ascii="Arial" w:hAnsi="Arial"/>
                <w:color w:val="212B36"/>
                <w:sz w:val="15"/>
              </w:rPr>
              <w:t>Adam Optimizer (lr=0.001), MSE Reconstruction Loss + Analytical KL Divergence</w:t>
            </w:r>
          </w:p>
        </w:tc>
      </w:tr>
      <w:tr>
        <w:tc>
          <w:tcPr>
            <w:tcW w:type="dxa" w:w="5040"/>
            <w:shd w:fill="FFFFFF"/>
            <w:tcMar>
              <w:top w:w="20" w:type="dxa"/>
              <w:bottom w:w="20" w:type="dxa"/>
              <w:left w:w="60" w:type="dxa"/>
              <w:right w:w="60" w:type="dxa"/>
            </w:tcMar>
          </w:tcPr>
          <w:p>
            <w:r>
              <w:rPr>
                <w:rFonts w:ascii="Arial" w:hAnsi="Arial"/>
                <w:b/>
                <w:color w:val="0F2540"/>
                <w:sz w:val="15"/>
              </w:rPr>
              <w:t>Latent Dimensionality</w:t>
            </w:r>
          </w:p>
        </w:tc>
        <w:tc>
          <w:tcPr>
            <w:tcW w:type="dxa" w:w="5040"/>
            <w:shd w:fill="FFFFFF"/>
            <w:tcMar>
              <w:top w:w="20" w:type="dxa"/>
              <w:bottom w:w="20" w:type="dxa"/>
              <w:left w:w="60" w:type="dxa"/>
              <w:right w:w="60" w:type="dxa"/>
            </w:tcMar>
          </w:tcPr>
          <w:p>
            <w:r>
              <w:rPr>
                <w:rFonts w:ascii="Arial" w:hAnsi="Arial"/>
                <w:color w:val="212B36"/>
                <w:sz w:val="15"/>
              </w:rPr>
              <w:t>32-dimensional continuous latent distribution vector space</w:t>
            </w:r>
          </w:p>
        </w:tc>
      </w:tr>
      <w:tr>
        <w:tc>
          <w:tcPr>
            <w:tcW w:type="dxa" w:w="5040"/>
            <w:shd w:fill="F8FAFC"/>
            <w:tcMar>
              <w:top w:w="20" w:type="dxa"/>
              <w:bottom w:w="20" w:type="dxa"/>
              <w:left w:w="60" w:type="dxa"/>
              <w:right w:w="60" w:type="dxa"/>
            </w:tcMar>
          </w:tcPr>
          <w:p>
            <w:r>
              <w:rPr>
                <w:rFonts w:ascii="Arial" w:hAnsi="Arial"/>
                <w:b/>
                <w:color w:val="0F2540"/>
                <w:sz w:val="15"/>
              </w:rPr>
              <w:t>Execution Environment</w:t>
            </w:r>
          </w:p>
        </w:tc>
        <w:tc>
          <w:tcPr>
            <w:tcW w:type="dxa" w:w="5040"/>
            <w:shd w:fill="F8FAFC"/>
            <w:tcMar>
              <w:top w:w="20" w:type="dxa"/>
              <w:bottom w:w="20" w:type="dxa"/>
              <w:left w:w="60" w:type="dxa"/>
              <w:right w:w="60" w:type="dxa"/>
            </w:tcMar>
          </w:tcPr>
          <w:p>
            <w:r>
              <w:rPr>
                <w:rFonts w:ascii="Arial" w:hAnsi="Arial"/>
                <w:color w:val="212B36"/>
                <w:sz w:val="15"/>
              </w:rPr>
              <w:t>Python 3.10.11 / VS Code / Jupyter Lab Environment on Windows 64-bit</w:t>
            </w:r>
          </w:p>
        </w:tc>
      </w:tr>
    </w:tbl>
    <w:p>
      <w:pPr>
        <w:spacing w:after="40"/>
      </w:pPr>
    </w:p>
    <w:p>
      <w:pPr>
        <w:keepNext/>
        <w:spacing w:before="100" w:after="40"/>
      </w:pPr>
      <w:r>
        <w:rPr>
          <w:rFonts w:ascii="Arial" w:hAnsi="Arial"/>
          <w:b/>
          <w:color w:val="1976D2"/>
          <w:sz w:val="20"/>
        </w:rPr>
        <w:t>2.4 Theory &amp; Mathematical Principles</w:t>
      </w:r>
    </w:p>
    <w:p>
      <w:pPr>
        <w:spacing w:before="0" w:after="40" w:line="259" w:lineRule="auto"/>
      </w:pPr>
      <w:r>
        <w:rPr>
          <w:rFonts w:ascii="Arial" w:hAnsi="Arial"/>
          <w:color w:val="212B36"/>
          <w:sz w:val="17"/>
        </w:rPr>
        <w:t>Traditional autoencoders map each input to an isolated, deterministic point in latent space, causing non-continuous voids where decoding yields meaningless noise. A Variational Autoencoder (VAE) models continuous latent probability distributions:</w:t>
      </w:r>
    </w:p>
    <w:p>
      <w:pPr>
        <w:pStyle w:val="ListBullet"/>
        <w:spacing w:before="0" w:after="30" w:line="259" w:lineRule="auto"/>
      </w:pPr>
      <w:r>
        <w:rPr>
          <w:rFonts w:ascii="Arial" w:hAnsi="Arial"/>
          <w:b/>
          <w:color w:val="0F2540"/>
          <w:sz w:val="17"/>
        </w:rPr>
        <w:t xml:space="preserve">1. Probabilistic Latent Mapping: </w:t>
      </w:r>
      <w:r>
        <w:rPr>
          <w:rFonts w:ascii="Arial" w:hAnsi="Arial"/>
          <w:color w:val="212B36"/>
          <w:sz w:val="17"/>
        </w:rPr>
        <w:t>Given input x, the encoder outputs multivariate Gaussian parameters: mean vector μ(x) and diagonal covariance matrix Σ(x) = diag(σ^2(x)).</w:t>
      </w:r>
    </w:p>
    <w:p>
      <w:pPr>
        <w:pStyle w:val="ListBullet"/>
        <w:spacing w:before="0" w:after="30" w:line="259" w:lineRule="auto"/>
      </w:pPr>
      <w:r>
        <w:rPr>
          <w:rFonts w:ascii="Arial" w:hAnsi="Arial"/>
          <w:b/>
          <w:color w:val="0F2540"/>
          <w:sz w:val="17"/>
        </w:rPr>
        <w:t xml:space="preserve">2. Evidence Lower Bound (ELBO): </w:t>
      </w:r>
      <w:r>
        <w:rPr>
          <w:rFonts w:ascii="Arial" w:hAnsi="Arial"/>
          <w:color w:val="212B36"/>
          <w:sz w:val="17"/>
        </w:rPr>
        <w:t>The VAE is trained by maximizing the ELBO objective: L_VAE = L_recon(x, x̂) + β · D_KL(q_ϕ(z|x) || p(z)), where p(z) = N(0, I) is the standard Gaussian prior.</w:t>
      </w:r>
    </w:p>
    <w:p>
      <w:pPr>
        <w:pStyle w:val="ListBullet"/>
        <w:spacing w:before="0" w:after="30" w:line="259" w:lineRule="auto"/>
      </w:pPr>
      <w:r>
        <w:rPr>
          <w:rFonts w:ascii="Arial" w:hAnsi="Arial"/>
          <w:b/>
          <w:color w:val="0F2540"/>
          <w:sz w:val="17"/>
        </w:rPr>
        <w:t xml:space="preserve">3. Closed-Form KL Divergence: </w:t>
      </w:r>
      <w:r>
        <w:rPr>
          <w:rFonts w:ascii="Arial" w:hAnsi="Arial"/>
          <w:color w:val="212B36"/>
          <w:sz w:val="17"/>
        </w:rPr>
        <w:t>For multivariate Gaussian distributions, the relative entropy simplifies to an exact analytical formula: D_KL = -0.5 · Σ [1 + log(σ_j^2) - μ_j^2 - σ_j^2], regularizing latent encodings to pack densely around the origin.</w:t>
      </w:r>
    </w:p>
    <w:p>
      <w:pPr>
        <w:pStyle w:val="ListBullet"/>
        <w:spacing w:before="0" w:after="30" w:line="259" w:lineRule="auto"/>
      </w:pPr>
      <w:r>
        <w:rPr>
          <w:rFonts w:ascii="Arial" w:hAnsi="Arial"/>
          <w:b/>
          <w:color w:val="0F2540"/>
          <w:sz w:val="17"/>
        </w:rPr>
        <w:t xml:space="preserve">4. The Reparameterization Trick: </w:t>
      </w:r>
      <w:r>
        <w:rPr>
          <w:rFonts w:ascii="Arial" w:hAnsi="Arial"/>
          <w:color w:val="212B36"/>
          <w:sz w:val="17"/>
        </w:rPr>
        <w:t>Direct stochastic sampling z ~ q_ϕ(z|x) prevents gradient propagation. Kingma &amp; Welling (2014) introduced the reparameterization trick: z = μ + σ ⊙ ε, where ε ~ N(0, I) is an external stochastic variable. This isolates randomness into ε while expressing z as a deterministic function of μ and σ, permitting exact gradient backpropagation.</w:t>
      </w:r>
    </w:p>
    <w:p>
      <w:r>
        <w:br w:type="page"/>
      </w:r>
    </w:p>
    <w:p>
      <w:pPr>
        <w:pStyle w:val="ListBullet"/>
        <w:spacing w:before="0" w:after="30" w:line="259" w:lineRule="auto"/>
      </w:pPr>
      <w:r>
        <w:rPr>
          <w:rFonts w:ascii="Arial" w:hAnsi="Arial"/>
          <w:b/>
          <w:color w:val="0F2540"/>
          <w:sz w:val="17"/>
        </w:rPr>
        <w:t xml:space="preserve">5. Creative Applications in Entertainment and Design: </w:t>
      </w:r>
      <w:r>
        <w:rPr>
          <w:rFonts w:ascii="Arial" w:hAnsi="Arial"/>
          <w:color w:val="212B36"/>
          <w:sz w:val="17"/>
        </w:rPr>
        <w:t>Because the VAE latent space is continuous and smooth, it allows: (a) Procedural Character Synthesis: generating infinite realistic human faces for NPCs in video games; (b) Facial Feature Morphing: smooth cinematic transitions between different character appearances in visual effects; (c) Attribute Manipulation: vector arithmetic in latent space (e.g., z_modified = z_base + α · v_expression) to adjust facial emotion, age, or lighting dynamically.</w:t>
      </w:r>
    </w:p>
    <w:p>
      <w:pPr>
        <w:keepNext/>
        <w:spacing w:before="40" w:after="20"/>
        <w:jc w:val="center"/>
      </w:pPr>
      <w:r>
        <w:drawing>
          <wp:inline xmlns:a="http://schemas.openxmlformats.org/drawingml/2006/main" xmlns:pic="http://schemas.openxmlformats.org/drawingml/2006/picture">
            <wp:extent cx="5120640" cy="1636493"/>
            <wp:docPr id="5" name="Picture 5"/>
            <wp:cNvGraphicFramePr>
              <a:graphicFrameLocks noChangeAspect="1"/>
            </wp:cNvGraphicFramePr>
            <a:graphic>
              <a:graphicData uri="http://schemas.openxmlformats.org/drawingml/2006/picture">
                <pic:pic>
                  <pic:nvPicPr>
                    <pic:cNvPr id="0" name="fig_vae_architecture.png"/>
                    <pic:cNvPicPr/>
                  </pic:nvPicPr>
                  <pic:blipFill>
                    <a:blip r:embed="rId15"/>
                    <a:stretch>
                      <a:fillRect/>
                    </a:stretch>
                  </pic:blipFill>
                  <pic:spPr>
                    <a:xfrm>
                      <a:off x="0" y="0"/>
                      <a:ext cx="5120640" cy="1636493"/>
                    </a:xfrm>
                    <a:prstGeom prst="rect"/>
                  </pic:spPr>
                </pic:pic>
              </a:graphicData>
            </a:graphic>
          </wp:inline>
        </w:drawing>
      </w:r>
    </w:p>
    <w:p>
      <w:pPr>
        <w:spacing w:before="20" w:after="60"/>
        <w:jc w:val="center"/>
      </w:pPr>
      <w:r>
        <w:rPr>
          <w:rFonts w:ascii="Arial" w:hAnsi="Arial"/>
          <w:i/>
          <w:color w:val="475569"/>
          <w:sz w:val="15"/>
        </w:rPr>
        <w:t>Figure 2.1: Convolutional Variational Autoencoder (Conv-VAE) architecture with Reparameterization Trick and Prior Sampling</w:t>
      </w:r>
    </w:p>
    <w:p>
      <w:pPr>
        <w:keepNext/>
        <w:spacing w:before="100" w:after="40"/>
      </w:pPr>
      <w:r>
        <w:rPr>
          <w:rFonts w:ascii="Arial" w:hAnsi="Arial"/>
          <w:b/>
          <w:color w:val="1976D2"/>
          <w:sz w:val="20"/>
        </w:rPr>
        <w:t>2.5 Step-by-Step Implementation Procedure</w:t>
      </w:r>
    </w:p>
    <w:tbl>
      <w:tblPr>
        <w:tblW w:type="auto" w:w="0"/>
        <w:jc w:val="center"/>
        <w:tblLook w:firstColumn="1" w:firstRow="1" w:lastColumn="0" w:lastRow="0" w:noHBand="0" w:noVBand="1" w:val="04A0"/>
      </w:tblPr>
      <w:tblGrid>
        <w:gridCol w:w="5040"/>
        <w:gridCol w:w="5040"/>
      </w:tblGrid>
      <w:tr>
        <w:tc>
          <w:tcPr>
            <w:tcW w:type="dxa" w:w="5040"/>
            <w:shd w:fill="0F2540"/>
            <w:tcMar>
              <w:top w:w="30" w:type="dxa"/>
              <w:bottom w:w="30" w:type="dxa"/>
              <w:left w:w="60" w:type="dxa"/>
              <w:right w:w="60" w:type="dxa"/>
            </w:tcMar>
          </w:tcPr>
          <w:p>
            <w:r>
              <w:rPr>
                <w:rFonts w:ascii="Arial" w:hAnsi="Arial"/>
                <w:b/>
                <w:color w:val="FFFFFF"/>
                <w:sz w:val="16"/>
              </w:rPr>
              <w:t>Phase / Step</w:t>
            </w:r>
          </w:p>
        </w:tc>
        <w:tc>
          <w:tcPr>
            <w:tcW w:type="dxa" w:w="5040"/>
            <w:shd w:fill="0F2540"/>
            <w:tcMar>
              <w:top w:w="30" w:type="dxa"/>
              <w:bottom w:w="30" w:type="dxa"/>
              <w:left w:w="60" w:type="dxa"/>
              <w:right w:w="60" w:type="dxa"/>
            </w:tcMar>
          </w:tcPr>
          <w:p>
            <w:r>
              <w:rPr>
                <w:rFonts w:ascii="Arial" w:hAnsi="Arial"/>
                <w:b/>
                <w:color w:val="FFFFFF"/>
                <w:sz w:val="16"/>
              </w:rPr>
              <w:t>Detailed Implementation Procedure</w:t>
            </w:r>
          </w:p>
        </w:tc>
      </w:tr>
      <w:tr>
        <w:tc>
          <w:tcPr>
            <w:tcW w:type="dxa" w:w="5040"/>
            <w:shd w:fill="F8FAFC"/>
            <w:tcMar>
              <w:top w:w="20" w:type="dxa"/>
              <w:bottom w:w="20" w:type="dxa"/>
              <w:left w:w="60" w:type="dxa"/>
              <w:right w:w="60" w:type="dxa"/>
            </w:tcMar>
          </w:tcPr>
          <w:p>
            <w:r>
              <w:rPr>
                <w:rFonts w:ascii="Arial" w:hAnsi="Arial"/>
                <w:b/>
                <w:color w:val="0F2540"/>
                <w:sz w:val="15"/>
              </w:rPr>
              <w:t>Step 1: Dataset Preparation</w:t>
            </w:r>
          </w:p>
        </w:tc>
        <w:tc>
          <w:tcPr>
            <w:tcW w:type="dxa" w:w="5040"/>
            <w:shd w:fill="F8FAFC"/>
            <w:tcMar>
              <w:top w:w="20" w:type="dxa"/>
              <w:bottom w:w="20" w:type="dxa"/>
              <w:left w:w="60" w:type="dxa"/>
              <w:right w:w="60" w:type="dxa"/>
            </w:tcMar>
          </w:tcPr>
          <w:p>
            <w:r>
              <w:rPr>
                <w:rFonts w:ascii="Arial" w:hAnsi="Arial"/>
                <w:color w:val="212B36"/>
                <w:sz w:val="15"/>
              </w:rPr>
              <w:t>Load 400 grayscale face images from the Olivetti Faces dataset (64x64 pixels). Reshape to (400, 1, 64, 64) and create PyTorch DataLoader with batch size 32.</w:t>
            </w:r>
          </w:p>
        </w:tc>
      </w:tr>
      <w:tr>
        <w:tc>
          <w:tcPr>
            <w:tcW w:type="dxa" w:w="5040"/>
            <w:shd w:fill="FFFFFF"/>
            <w:tcMar>
              <w:top w:w="20" w:type="dxa"/>
              <w:bottom w:w="20" w:type="dxa"/>
              <w:left w:w="60" w:type="dxa"/>
              <w:right w:w="60" w:type="dxa"/>
            </w:tcMar>
          </w:tcPr>
          <w:p>
            <w:r>
              <w:rPr>
                <w:rFonts w:ascii="Arial" w:hAnsi="Arial"/>
                <w:b/>
                <w:color w:val="0F2540"/>
                <w:sz w:val="15"/>
              </w:rPr>
              <w:t>Step 2: Convolutional Encoder</w:t>
            </w:r>
          </w:p>
        </w:tc>
        <w:tc>
          <w:tcPr>
            <w:tcW w:type="dxa" w:w="5040"/>
            <w:shd w:fill="FFFFFF"/>
            <w:tcMar>
              <w:top w:w="20" w:type="dxa"/>
              <w:bottom w:w="20" w:type="dxa"/>
              <w:left w:w="60" w:type="dxa"/>
              <w:right w:w="60" w:type="dxa"/>
            </w:tcMar>
          </w:tcPr>
          <w:p>
            <w:r>
              <w:rPr>
                <w:rFonts w:ascii="Arial" w:hAnsi="Arial"/>
                <w:color w:val="212B36"/>
                <w:sz w:val="15"/>
              </w:rPr>
              <w:t>Implement 3 strided Conv2D layers (channels: 32 -&gt; 64 -&gt; 128) with BatchNorm2D and LeakyReLU to extract spatial facial features, followed by dual Linear heads for μ and log(σ^2).</w:t>
            </w:r>
          </w:p>
        </w:tc>
      </w:tr>
      <w:tr>
        <w:tc>
          <w:tcPr>
            <w:tcW w:type="dxa" w:w="5040"/>
            <w:shd w:fill="F8FAFC"/>
            <w:tcMar>
              <w:top w:w="20" w:type="dxa"/>
              <w:bottom w:w="20" w:type="dxa"/>
              <w:left w:w="60" w:type="dxa"/>
              <w:right w:w="60" w:type="dxa"/>
            </w:tcMar>
          </w:tcPr>
          <w:p>
            <w:r>
              <w:rPr>
                <w:rFonts w:ascii="Arial" w:hAnsi="Arial"/>
                <w:b/>
                <w:color w:val="0F2540"/>
                <w:sz w:val="15"/>
              </w:rPr>
              <w:t>Step 3: Reparameterization Layer</w:t>
            </w:r>
          </w:p>
        </w:tc>
        <w:tc>
          <w:tcPr>
            <w:tcW w:type="dxa" w:w="5040"/>
            <w:shd w:fill="F8FAFC"/>
            <w:tcMar>
              <w:top w:w="20" w:type="dxa"/>
              <w:bottom w:w="20" w:type="dxa"/>
              <w:left w:w="60" w:type="dxa"/>
              <w:right w:w="60" w:type="dxa"/>
            </w:tcMar>
          </w:tcPr>
          <w:p>
            <w:r>
              <w:rPr>
                <w:rFonts w:ascii="Arial" w:hAnsi="Arial"/>
                <w:color w:val="212B36"/>
                <w:sz w:val="15"/>
              </w:rPr>
              <w:t>Compute standard deviation σ = exp(0.5 · log σ^2), sample ε ~ N(0, I), and construct latent vector z = μ + σ ⊙ ε.</w:t>
            </w:r>
          </w:p>
        </w:tc>
      </w:tr>
      <w:tr>
        <w:tc>
          <w:tcPr>
            <w:tcW w:type="dxa" w:w="5040"/>
            <w:shd w:fill="FFFFFF"/>
            <w:tcMar>
              <w:top w:w="20" w:type="dxa"/>
              <w:bottom w:w="20" w:type="dxa"/>
              <w:left w:w="60" w:type="dxa"/>
              <w:right w:w="60" w:type="dxa"/>
            </w:tcMar>
          </w:tcPr>
          <w:p>
            <w:r>
              <w:rPr>
                <w:rFonts w:ascii="Arial" w:hAnsi="Arial"/>
                <w:b/>
                <w:color w:val="0F2540"/>
                <w:sz w:val="15"/>
              </w:rPr>
              <w:t>Step 4: Convolutional Decoder</w:t>
            </w:r>
          </w:p>
        </w:tc>
        <w:tc>
          <w:tcPr>
            <w:tcW w:type="dxa" w:w="5040"/>
            <w:shd w:fill="FFFFFF"/>
            <w:tcMar>
              <w:top w:w="20" w:type="dxa"/>
              <w:bottom w:w="20" w:type="dxa"/>
              <w:left w:w="60" w:type="dxa"/>
              <w:right w:w="60" w:type="dxa"/>
            </w:tcMar>
          </w:tcPr>
          <w:p>
            <w:r>
              <w:rPr>
                <w:rFonts w:ascii="Arial" w:hAnsi="Arial"/>
                <w:color w:val="212B36"/>
                <w:sz w:val="15"/>
              </w:rPr>
              <w:t>Expand z via Linear layers and 3 ConvTranspose2D layers (channels: 128 -&gt; 64 -&gt; 32 -&gt; 1) with Sigmoid activation to reconstruct the 64x64 face image.</w:t>
            </w:r>
          </w:p>
        </w:tc>
      </w:tr>
      <w:tr>
        <w:tc>
          <w:tcPr>
            <w:tcW w:type="dxa" w:w="5040"/>
            <w:shd w:fill="F8FAFC"/>
            <w:tcMar>
              <w:top w:w="20" w:type="dxa"/>
              <w:bottom w:w="20" w:type="dxa"/>
              <w:left w:w="60" w:type="dxa"/>
              <w:right w:w="60" w:type="dxa"/>
            </w:tcMar>
          </w:tcPr>
          <w:p>
            <w:r>
              <w:rPr>
                <w:rFonts w:ascii="Arial" w:hAnsi="Arial"/>
                <w:b/>
                <w:color w:val="0F2540"/>
                <w:sz w:val="15"/>
              </w:rPr>
              <w:t>Step 5: ELBO Optimization</w:t>
            </w:r>
          </w:p>
        </w:tc>
        <w:tc>
          <w:tcPr>
            <w:tcW w:type="dxa" w:w="5040"/>
            <w:shd w:fill="F8FAFC"/>
            <w:tcMar>
              <w:top w:w="20" w:type="dxa"/>
              <w:bottom w:w="20" w:type="dxa"/>
              <w:left w:w="60" w:type="dxa"/>
              <w:right w:w="60" w:type="dxa"/>
            </w:tcMar>
          </w:tcPr>
          <w:p>
            <w:r>
              <w:rPr>
                <w:rFonts w:ascii="Arial" w:hAnsi="Arial"/>
                <w:color w:val="212B36"/>
                <w:sz w:val="15"/>
              </w:rPr>
              <w:t>Train for 45 epochs using Adam optimizer. Compute composite loss combining MSE reconstruction error and analytical KL divergence with balancing weight β = 0.005.</w:t>
            </w:r>
          </w:p>
        </w:tc>
      </w:tr>
      <w:tr>
        <w:tc>
          <w:tcPr>
            <w:tcW w:type="dxa" w:w="5040"/>
            <w:shd w:fill="FFFFFF"/>
            <w:tcMar>
              <w:top w:w="20" w:type="dxa"/>
              <w:bottom w:w="20" w:type="dxa"/>
              <w:left w:w="60" w:type="dxa"/>
              <w:right w:w="60" w:type="dxa"/>
            </w:tcMar>
          </w:tcPr>
          <w:p>
            <w:r>
              <w:rPr>
                <w:rFonts w:ascii="Arial" w:hAnsi="Arial"/>
                <w:b/>
                <w:color w:val="0F2540"/>
                <w:sz w:val="15"/>
              </w:rPr>
              <w:t>Step 6: Face Synthesis &amp; Latent Walk</w:t>
            </w:r>
          </w:p>
        </w:tc>
        <w:tc>
          <w:tcPr>
            <w:tcW w:type="dxa" w:w="5040"/>
            <w:shd w:fill="FFFFFF"/>
            <w:tcMar>
              <w:top w:w="20" w:type="dxa"/>
              <w:bottom w:w="20" w:type="dxa"/>
              <w:left w:w="60" w:type="dxa"/>
              <w:right w:w="60" w:type="dxa"/>
            </w:tcMar>
          </w:tcPr>
          <w:p>
            <w:r>
              <w:rPr>
                <w:rFonts w:ascii="Arial" w:hAnsi="Arial"/>
                <w:color w:val="212B36"/>
                <w:sz w:val="15"/>
              </w:rPr>
              <w:t>Sample 12 random vectors z ~ N(0, I) to generate novel faces, and compute linear interpolation z(α) = (1-α)μ_A + αμ_B across 10 steps to visualize smooth facial morphing.</w:t>
            </w:r>
          </w:p>
        </w:tc>
      </w:tr>
    </w:tbl>
    <w:p>
      <w:r>
        <w:br w:type="page"/>
      </w:r>
    </w:p>
    <w:p>
      <w:pPr>
        <w:keepNext/>
        <w:spacing w:before="100" w:after="40"/>
      </w:pPr>
      <w:r>
        <w:rPr>
          <w:rFonts w:ascii="Arial" w:hAnsi="Arial"/>
          <w:b/>
          <w:color w:val="1976D2"/>
          <w:sz w:val="20"/>
        </w:rPr>
        <w:t>2.6 Python Source Code</w:t>
      </w:r>
    </w:p>
    <w:tbl>
      <w:tblPr>
        <w:tblW w:type="auto" w:w="0"/>
        <w:jc w:val="center"/>
        <w:tblLook w:firstColumn="1" w:firstRow="1" w:lastColumn="0" w:lastRow="0" w:noHBand="0" w:noVBand="1" w:val="04A0"/>
      </w:tblPr>
      <w:tblGrid>
        <w:gridCol w:w="10080"/>
      </w:tblGrid>
      <w:tr>
        <w:tc>
          <w:tcPr>
            <w:tcW w:type="dxa" w:w="10080"/>
            <w:shd w:fill="F8FAFC"/>
            <w:tcMar>
              <w:top w:w="35" w:type="dxa"/>
              <w:bottom w:w="35" w:type="dxa"/>
              <w:left w:w="70" w:type="dxa"/>
              <w:right w:w="70" w:type="dxa"/>
            </w:tcMar>
            <w:tcBorders>
              <w:top w:val="single" w:sz="4" w:space="0" w:color="CBD5E1"/>
              <w:left w:val="single" w:sz="14" w:space="0" w:color="0F2540"/>
              <w:bottom w:val="single" w:sz="4" w:space="0" w:color="CBD5E1"/>
              <w:right w:val="single" w:sz="4" w:space="0" w:color="CBD5E1"/>
            </w:tcBorders>
          </w:tcPr>
          <w:p>
            <w:pPr>
              <w:spacing w:before="0" w:after="0" w:line="240" w:lineRule="auto"/>
            </w:pPr>
            <w:r>
              <w:rPr>
                <w:rFonts w:ascii="Consolas" w:hAnsi="Consolas"/>
                <w:color w:val="0F172A"/>
                <w:sz w:val="13"/>
              </w:rPr>
              <w:t># ==============================================================================</w:t>
              <w:br/>
              <w:t># EXPERIMENT 2 - PART 2: Conv-VAE for Face Generation &amp; Latent Interpolation</w:t>
              <w:br/>
              <w:t># Student: Abhay Bhise | PRN: 202402040016 | Batch: GENAI3</w:t>
              <w:br/>
              <w:t># ==============================================================================</w:t>
              <w:br/>
              <w:t>import numpy as np</w:t>
              <w:br/>
              <w:t>import torch</w:t>
              <w:br/>
              <w:t>import torch.nn as nn</w:t>
              <w:br/>
              <w:t>import torch.optim as optim</w:t>
              <w:br/>
              <w:t>from torch.utils.data import DataLoader, TensorDataset</w:t>
              <w:br/>
              <w:t>from sklearn.datasets import fetch_olivetti_faces</w:t>
              <w:br/>
              <w:br/>
              <w:t>faces = fetch_olivetti_faces(shuffle=True, random_state=42)</w:t>
              <w:br/>
              <w:t>X_faces = np.expand_dims(faces.images.astype(np.float32), axis=1) # (400, 1, 64, 64)</w:t>
              <w:br/>
              <w:t>loader = DataLoader(TensorDataset(torch.from_numpy(X_faces)), batch_size=32, shuffle=True)</w:t>
              <w:br/>
              <w:br/>
              <w:t>class ConvVAE(nn.Module):</w:t>
              <w:br/>
              <w:t xml:space="preserve">    def __init__(self, latent_dim=32):</w:t>
              <w:br/>
              <w:t xml:space="preserve">        super(ConvVAE, self).__init__()</w:t>
              <w:br/>
              <w:t xml:space="preserve">        self.encoder = nn.Sequential(</w:t>
              <w:br/>
              <w:t xml:space="preserve">            nn.Conv2d(1, 32, 4, stride=2, padding=1), nn.BatchNorm2d(32), nn.LeakyReLU(0.2),</w:t>
              <w:br/>
              <w:t xml:space="preserve">            nn.Conv2d(32, 64, 4, stride=2, padding=1), nn.BatchNorm2d(64), nn.LeakyReLU(0.2),</w:t>
              <w:br/>
              <w:t xml:space="preserve">            nn.Conv2d(64, 128, 4, stride=2, padding=1), nn.BatchNorm2d(128), nn.LeakyReLU(0.2),</w:t>
              <w:br/>
              <w:t xml:space="preserve">            nn.Flatten(), nn.Linear(128 * 8 * 8, 256), nn.ReLU(True)</w:t>
              <w:br/>
              <w:t xml:space="preserve">        )</w:t>
              <w:br/>
              <w:t xml:space="preserve">        self.fc_mu = nn.Linear(256, latent_dim)</w:t>
              <w:br/>
              <w:t xml:space="preserve">        self.fc_logvar = nn.Linear(256, latent_dim)</w:t>
              <w:br/>
              <w:t xml:space="preserve">        self.dec_fc = nn.Sequential(nn.Linear(latent_dim, 256), nn.ReLU(True), nn.Linear(256, 128 * 8 * 8), nn.ReLU(True))</w:t>
              <w:br/>
              <w:t xml:space="preserve">        self.decoder = nn.Sequential(</w:t>
              <w:br/>
              <w:t xml:space="preserve">            nn.ConvTranspose2d(128, 64, 4, stride=2, padding=1), nn.BatchNorm2d(64), nn.ReLU(True),</w:t>
              <w:br/>
              <w:t xml:space="preserve">            nn.ConvTranspose2d(64, 32, 4, stride=2, padding=1), nn.BatchNorm2d(32), nn.ReLU(True),</w:t>
              <w:br/>
              <w:t xml:space="preserve">            nn.ConvTranspose2d(32, 1, 4, stride=2, padding=1), nn.Sigmoid()</w:t>
              <w:br/>
              <w:t xml:space="preserve">        )</w:t>
              <w:br/>
              <w:br/>
              <w:t xml:space="preserve">    def encode(self, x):</w:t>
              <w:br/>
              <w:t xml:space="preserve">        h = self.encoder(x)</w:t>
              <w:br/>
              <w:t xml:space="preserve">        return self.fc_mu(h), self.fc_logvar(h)</w:t>
              <w:br/>
              <w:br/>
              <w:t xml:space="preserve">    def reparameterize(self, mu, logvar):</w:t>
              <w:br/>
              <w:t xml:space="preserve">        std = torch.exp(0.5 * logvar)</w:t>
              <w:br/>
              <w:t xml:space="preserve">        eps = torch.randn_like(std)</w:t>
              <w:br/>
              <w:t xml:space="preserve">        return mu + eps * std  # Kingma &amp; Welling Reparameterization Trick</w:t>
              <w:br/>
              <w:br/>
              <w:t xml:space="preserve">    def decode(self, z):</w:t>
              <w:br/>
              <w:t xml:space="preserve">        return self.decoder(self.dec_fc(z).view(-1, 128, 8, 8))</w:t>
              <w:br/>
              <w:br/>
              <w:t xml:space="preserve">    def forward(self, x):</w:t>
              <w:br/>
              <w:t xml:space="preserve">        mu, logvar = self.encode(x)</w:t>
              <w:br/>
              <w:t xml:space="preserve">        z = self.reparameterize(mu, logvar)</w:t>
              <w:br/>
              <w:t xml:space="preserve">        return self.decode(z), mu, logvar</w:t>
              <w:br/>
              <w:br/>
              <w:t>def loss_function(recon_x, x, mu, logvar, beta=0.005):</w:t>
              <w:br/>
              <w:t xml:space="preserve">    recon_loss = nn.functional.mse_loss(recon_x, x, reduction='sum') / x.size(0)</w:t>
              <w:br/>
              <w:t xml:space="preserve">    kl_loss = -0.5 * torch.sum(1 + logvar - mu.pow(2) - logvar.exp()) / x.size(0)</w:t>
              <w:br/>
              <w:t xml:space="preserve">    return recon_loss + beta * kl_loss, recon_loss, kl_loss</w:t>
              <w:br/>
              <w:br/>
              <w:t>model = ConvVAE(latent_dim=32)</w:t>
              <w:br/>
              <w:t>optimizer = optim.Adam(model.parameters(), lr=0.001, weight_decay=1e-5)</w:t>
              <w:br/>
              <w:br/>
              <w:t># Training Loop (45 Epochs)</w:t>
              <w:br/>
              <w:t>for epoch in range(1, 46):</w:t>
              <w:br/>
              <w:t xml:space="preserve">    model.train()</w:t>
              <w:br/>
              <w:t xml:space="preserve">    for batch in loader:</w:t>
              <w:br/>
              <w:t xml:space="preserve">        optimizer.zero_grad()</w:t>
              <w:br/>
              <w:t xml:space="preserve">        recon, mu, logvar = model(batch[0])</w:t>
              <w:br/>
              <w:t xml:space="preserve">        total_loss, _, _ = loss_function(recon, batch[0], mu, logvar)</w:t>
              <w:br/>
              <w:t xml:space="preserve">        total_loss.backward()</w:t>
              <w:br/>
              <w:t xml:space="preserve">        optimizer.step()</w:t>
              <w:br/>
              <w:br/>
              <w:t># Creative Generation &amp; Latent Interpolation</w:t>
              <w:br/>
              <w:t>model.eval()</w:t>
              <w:br/>
              <w:t>with torch.no_grad():</w:t>
              <w:br/>
              <w:t xml:space="preserve">    sample_z = torch.randn(12, 32)</w:t>
              <w:br/>
              <w:t xml:space="preserve">    novel_faces = model.decode(sample_z).squeeze().numpy()</w:t>
              <w:br/>
              <w:t xml:space="preserve">    mu_a, _ = model.encode(torch.from_numpy(X_faces[14:15]))</w:t>
              <w:br/>
              <w:t xml:space="preserve">    mu_b, _ = model.encode(torch.from_numpy(X_faces[75:76]))</w:t>
              <w:br/>
              <w:t xml:space="preserve">    interp_faces = [model.decode((1.0 - a) * mu_a + a * mu_b).squeeze().numpy() for a in np.linspace(0, 1, 10)]</w:t>
            </w:r>
          </w:p>
        </w:tc>
      </w:tr>
    </w:tbl>
    <w:p>
      <w:pPr>
        <w:spacing w:after="20"/>
      </w:pPr>
    </w:p>
    <w:p>
      <w:r>
        <w:br w:type="page"/>
      </w:r>
    </w:p>
    <w:p>
      <w:pPr>
        <w:keepNext/>
        <w:spacing w:before="100" w:after="40"/>
      </w:pPr>
      <w:r>
        <w:rPr>
          <w:rFonts w:ascii="Arial" w:hAnsi="Arial"/>
          <w:b/>
          <w:color w:val="1976D2"/>
          <w:sz w:val="20"/>
        </w:rPr>
        <w:t>2.7 Experimental Visualizations &amp; Empirical Output</w:t>
      </w:r>
    </w:p>
    <w:p>
      <w:pPr>
        <w:keepNext/>
        <w:spacing w:before="40" w:after="20"/>
        <w:jc w:val="center"/>
      </w:pPr>
      <w:r>
        <w:drawing>
          <wp:inline xmlns:a="http://schemas.openxmlformats.org/drawingml/2006/main" xmlns:pic="http://schemas.openxmlformats.org/drawingml/2006/picture">
            <wp:extent cx="4297680" cy="1719072"/>
            <wp:docPr id="6" name="Picture 6"/>
            <wp:cNvGraphicFramePr>
              <a:graphicFrameLocks noChangeAspect="1"/>
            </wp:cNvGraphicFramePr>
            <a:graphic>
              <a:graphicData uri="http://schemas.openxmlformats.org/drawingml/2006/picture">
                <pic:pic>
                  <pic:nvPicPr>
                    <pic:cNvPr id="0" name="fig4_vae_loss_curve.png"/>
                    <pic:cNvPicPr/>
                  </pic:nvPicPr>
                  <pic:blipFill>
                    <a:blip r:embed="rId16"/>
                    <a:stretch>
                      <a:fillRect/>
                    </a:stretch>
                  </pic:blipFill>
                  <pic:spPr>
                    <a:xfrm>
                      <a:off x="0" y="0"/>
                      <a:ext cx="4297680" cy="1719072"/>
                    </a:xfrm>
                    <a:prstGeom prst="rect"/>
                  </pic:spPr>
                </pic:pic>
              </a:graphicData>
            </a:graphic>
          </wp:inline>
        </w:drawing>
      </w:r>
    </w:p>
    <w:p>
      <w:pPr>
        <w:spacing w:before="20" w:after="60"/>
        <w:jc w:val="center"/>
      </w:pPr>
      <w:r>
        <w:rPr>
          <w:rFonts w:ascii="Arial" w:hAnsi="Arial"/>
          <w:i/>
          <w:color w:val="475569"/>
          <w:sz w:val="15"/>
        </w:rPr>
        <w:t>Figure 2.2: VAE Training Loss progression: Reconstruction Loss and KL Divergence over 45 epochs</w:t>
      </w:r>
    </w:p>
    <w:p>
      <w:pPr>
        <w:keepNext/>
        <w:spacing w:before="40" w:after="20"/>
        <w:jc w:val="center"/>
      </w:pPr>
      <w:r>
        <w:drawing>
          <wp:inline xmlns:a="http://schemas.openxmlformats.org/drawingml/2006/main" xmlns:pic="http://schemas.openxmlformats.org/drawingml/2006/picture">
            <wp:extent cx="4480560" cy="1613002"/>
            <wp:docPr id="7" name="Picture 7"/>
            <wp:cNvGraphicFramePr>
              <a:graphicFrameLocks noChangeAspect="1"/>
            </wp:cNvGraphicFramePr>
            <a:graphic>
              <a:graphicData uri="http://schemas.openxmlformats.org/drawingml/2006/picture">
                <pic:pic>
                  <pic:nvPicPr>
                    <pic:cNvPr id="0" name="fig5_vae_generated_faces.png"/>
                    <pic:cNvPicPr/>
                  </pic:nvPicPr>
                  <pic:blipFill>
                    <a:blip r:embed="rId17"/>
                    <a:stretch>
                      <a:fillRect/>
                    </a:stretch>
                  </pic:blipFill>
                  <pic:spPr>
                    <a:xfrm>
                      <a:off x="0" y="0"/>
                      <a:ext cx="4480560" cy="1613002"/>
                    </a:xfrm>
                    <a:prstGeom prst="rect"/>
                  </pic:spPr>
                </pic:pic>
              </a:graphicData>
            </a:graphic>
          </wp:inline>
        </w:drawing>
      </w:r>
    </w:p>
    <w:p>
      <w:pPr>
        <w:spacing w:before="20" w:after="60"/>
        <w:jc w:val="center"/>
      </w:pPr>
      <w:r>
        <w:rPr>
          <w:rFonts w:ascii="Arial" w:hAnsi="Arial"/>
          <w:i/>
          <w:color w:val="475569"/>
          <w:sz w:val="15"/>
        </w:rPr>
        <w:t>Figure 2.3: Synthesized novel facial images generated by sampling standard Gaussian prior z ~ N(0, I)</w:t>
      </w:r>
    </w:p>
    <w:p>
      <w:pPr>
        <w:keepNext/>
        <w:spacing w:before="40" w:after="20"/>
        <w:jc w:val="center"/>
      </w:pPr>
      <w:r>
        <w:drawing>
          <wp:inline xmlns:a="http://schemas.openxmlformats.org/drawingml/2006/main" xmlns:pic="http://schemas.openxmlformats.org/drawingml/2006/picture">
            <wp:extent cx="4754880" cy="754182"/>
            <wp:docPr id="8" name="Picture 8"/>
            <wp:cNvGraphicFramePr>
              <a:graphicFrameLocks noChangeAspect="1"/>
            </wp:cNvGraphicFramePr>
            <a:graphic>
              <a:graphicData uri="http://schemas.openxmlformats.org/drawingml/2006/picture">
                <pic:pic>
                  <pic:nvPicPr>
                    <pic:cNvPr id="0" name="fig6_vae_feature_interpolation.png"/>
                    <pic:cNvPicPr/>
                  </pic:nvPicPr>
                  <pic:blipFill>
                    <a:blip r:embed="rId18"/>
                    <a:stretch>
                      <a:fillRect/>
                    </a:stretch>
                  </pic:blipFill>
                  <pic:spPr>
                    <a:xfrm>
                      <a:off x="0" y="0"/>
                      <a:ext cx="4754880" cy="754182"/>
                    </a:xfrm>
                    <a:prstGeom prst="rect"/>
                  </pic:spPr>
                </pic:pic>
              </a:graphicData>
            </a:graphic>
          </wp:inline>
        </w:drawing>
      </w:r>
    </w:p>
    <w:p>
      <w:pPr>
        <w:spacing w:before="20" w:after="60"/>
        <w:jc w:val="center"/>
      </w:pPr>
      <w:r>
        <w:rPr>
          <w:rFonts w:ascii="Arial" w:hAnsi="Arial"/>
          <w:i/>
          <w:color w:val="475569"/>
          <w:sz w:val="15"/>
        </w:rPr>
        <w:t>Figure 2.4: Continuous Latent Space Feature Morphing: Smooth linear interpolation z(α) = (1-α)z_A + αz_B between distinct facial identities</w:t>
      </w:r>
    </w:p>
    <w:p>
      <w:pPr>
        <w:keepNext/>
        <w:spacing w:before="40" w:after="20"/>
        <w:jc w:val="center"/>
      </w:pPr>
      <w:r>
        <w:drawing>
          <wp:inline xmlns:a="http://schemas.openxmlformats.org/drawingml/2006/main" xmlns:pic="http://schemas.openxmlformats.org/drawingml/2006/picture">
            <wp:extent cx="4389120" cy="786206"/>
            <wp:docPr id="9" name="Picture 9"/>
            <wp:cNvGraphicFramePr>
              <a:graphicFrameLocks noChangeAspect="1"/>
            </wp:cNvGraphicFramePr>
            <a:graphic>
              <a:graphicData uri="http://schemas.openxmlformats.org/drawingml/2006/picture">
                <pic:pic>
                  <pic:nvPicPr>
                    <pic:cNvPr id="0" name="fig7_vae_attribute_traversal.png"/>
                    <pic:cNvPicPr/>
                  </pic:nvPicPr>
                  <pic:blipFill>
                    <a:blip r:embed="rId19"/>
                    <a:stretch>
                      <a:fillRect/>
                    </a:stretch>
                  </pic:blipFill>
                  <pic:spPr>
                    <a:xfrm>
                      <a:off x="0" y="0"/>
                      <a:ext cx="4389120" cy="786206"/>
                    </a:xfrm>
                    <a:prstGeom prst="rect"/>
                  </pic:spPr>
                </pic:pic>
              </a:graphicData>
            </a:graphic>
          </wp:inline>
        </w:drawing>
      </w:r>
    </w:p>
    <w:p>
      <w:pPr>
        <w:spacing w:before="20" w:after="60"/>
        <w:jc w:val="center"/>
      </w:pPr>
      <w:r>
        <w:rPr>
          <w:rFonts w:ascii="Arial" w:hAnsi="Arial"/>
          <w:i/>
          <w:color w:val="475569"/>
          <w:sz w:val="15"/>
        </w:rPr>
        <w:t>Figure 2.5: Latent Attribute Traversal along dimension z_5 across [-2.5, +2.5] standard deviations</w:t>
      </w:r>
    </w:p>
    <w:p>
      <w:r>
        <w:br w:type="page"/>
      </w:r>
    </w:p>
    <w:tbl>
      <w:tblPr>
        <w:tblW w:type="auto" w:w="0"/>
        <w:jc w:val="center"/>
        <w:tblLook w:firstColumn="1" w:firstRow="1" w:lastColumn="0" w:lastRow="0" w:noHBand="0" w:noVBand="1" w:val="04A0"/>
      </w:tblPr>
      <w:tblGrid>
        <w:gridCol w:w="3360"/>
        <w:gridCol w:w="3360"/>
        <w:gridCol w:w="3360"/>
      </w:tblGrid>
      <w:tr>
        <w:tc>
          <w:tcPr>
            <w:tcW w:type="dxa" w:w="3360"/>
            <w:shd w:fill="0F2540"/>
            <w:tcMar>
              <w:top w:w="22" w:type="dxa"/>
              <w:bottom w:w="22" w:type="dxa"/>
              <w:left w:w="50" w:type="dxa"/>
              <w:right w:w="50" w:type="dxa"/>
            </w:tcMar>
          </w:tcPr>
          <w:p>
            <w:r>
              <w:rPr>
                <w:rFonts w:ascii="Arial" w:hAnsi="Arial"/>
                <w:b/>
                <w:color w:val="FFFFFF"/>
                <w:sz w:val="15"/>
              </w:rPr>
              <w:t>Hyperparameter / Metric</w:t>
            </w:r>
          </w:p>
        </w:tc>
        <w:tc>
          <w:tcPr>
            <w:tcW w:type="dxa" w:w="3360"/>
            <w:shd w:fill="0F2540"/>
            <w:tcMar>
              <w:top w:w="22" w:type="dxa"/>
              <w:bottom w:w="22" w:type="dxa"/>
              <w:left w:w="50" w:type="dxa"/>
              <w:right w:w="50" w:type="dxa"/>
            </w:tcMar>
          </w:tcPr>
          <w:p>
            <w:pPr>
              <w:jc w:val="center"/>
            </w:pPr>
            <w:r>
              <w:rPr>
                <w:rFonts w:ascii="Arial" w:hAnsi="Arial"/>
                <w:b/>
                <w:color w:val="FFFFFF"/>
                <w:sz w:val="15"/>
              </w:rPr>
              <w:t>Value</w:t>
            </w:r>
          </w:p>
        </w:tc>
        <w:tc>
          <w:tcPr>
            <w:tcW w:type="dxa" w:w="3360"/>
            <w:shd w:fill="0F2540"/>
            <w:tcMar>
              <w:top w:w="22" w:type="dxa"/>
              <w:bottom w:w="22" w:type="dxa"/>
              <w:left w:w="50" w:type="dxa"/>
              <w:right w:w="50" w:type="dxa"/>
            </w:tcMar>
          </w:tcPr>
          <w:p>
            <w:r>
              <w:rPr>
                <w:rFonts w:ascii="Arial" w:hAnsi="Arial"/>
                <w:b/>
                <w:color w:val="FFFFFF"/>
                <w:sz w:val="15"/>
              </w:rPr>
              <w:t>Observation &amp; Analysis</w:t>
            </w:r>
          </w:p>
        </w:tc>
      </w:tr>
      <w:tr>
        <w:tc>
          <w:tcPr>
            <w:tcW w:type="dxa" w:w="3360"/>
            <w:shd w:fill="F8FAFC"/>
            <w:tcMar>
              <w:top w:w="15" w:type="dxa"/>
              <w:bottom w:w="15" w:type="dxa"/>
              <w:left w:w="50" w:type="dxa"/>
              <w:right w:w="50" w:type="dxa"/>
            </w:tcMar>
          </w:tcPr>
          <w:p>
            <w:r>
              <w:rPr>
                <w:rFonts w:ascii="Arial" w:hAnsi="Arial"/>
                <w:b/>
                <w:color w:val="0F2540"/>
                <w:sz w:val="15"/>
              </w:rPr>
              <w:t>Training Epochs</w:t>
            </w:r>
          </w:p>
        </w:tc>
        <w:tc>
          <w:tcPr>
            <w:tcW w:type="dxa" w:w="3360"/>
            <w:shd w:fill="F8FAFC"/>
            <w:tcMar>
              <w:top w:w="15" w:type="dxa"/>
              <w:bottom w:w="15" w:type="dxa"/>
              <w:left w:w="50" w:type="dxa"/>
              <w:right w:w="50" w:type="dxa"/>
            </w:tcMar>
          </w:tcPr>
          <w:p>
            <w:pPr>
              <w:jc w:val="center"/>
            </w:pPr>
            <w:r>
              <w:rPr>
                <w:rFonts w:ascii="Arial" w:hAnsi="Arial"/>
                <w:b/>
                <w:color w:val="1976D2"/>
                <w:sz w:val="15"/>
              </w:rPr>
              <w:t>45</w:t>
            </w:r>
          </w:p>
        </w:tc>
        <w:tc>
          <w:tcPr>
            <w:tcW w:type="dxa" w:w="3360"/>
            <w:shd w:fill="F8FAFC"/>
            <w:tcMar>
              <w:top w:w="15" w:type="dxa"/>
              <w:bottom w:w="15" w:type="dxa"/>
              <w:left w:w="50" w:type="dxa"/>
              <w:right w:w="50" w:type="dxa"/>
            </w:tcMar>
          </w:tcPr>
          <w:p>
            <w:r>
              <w:rPr>
                <w:rFonts w:ascii="Arial" w:hAnsi="Arial"/>
                <w:color w:val="212B36"/>
                <w:sz w:val="15"/>
              </w:rPr>
              <w:t>Sufficient for convergence on 400 grayscale face samples</w:t>
            </w:r>
          </w:p>
        </w:tc>
      </w:tr>
      <w:tr>
        <w:tc>
          <w:tcPr>
            <w:tcW w:type="dxa" w:w="3360"/>
            <w:shd w:fill="FFFFFF"/>
            <w:tcMar>
              <w:top w:w="15" w:type="dxa"/>
              <w:bottom w:w="15" w:type="dxa"/>
              <w:left w:w="50" w:type="dxa"/>
              <w:right w:w="50" w:type="dxa"/>
            </w:tcMar>
          </w:tcPr>
          <w:p>
            <w:r>
              <w:rPr>
                <w:rFonts w:ascii="Arial" w:hAnsi="Arial"/>
                <w:b/>
                <w:color w:val="0F2540"/>
                <w:sz w:val="15"/>
              </w:rPr>
              <w:t>Latent Vector Dimension</w:t>
            </w:r>
          </w:p>
        </w:tc>
        <w:tc>
          <w:tcPr>
            <w:tcW w:type="dxa" w:w="3360"/>
            <w:shd w:fill="FFFFFF"/>
            <w:tcMar>
              <w:top w:w="15" w:type="dxa"/>
              <w:bottom w:w="15" w:type="dxa"/>
              <w:left w:w="50" w:type="dxa"/>
              <w:right w:w="50" w:type="dxa"/>
            </w:tcMar>
          </w:tcPr>
          <w:p>
            <w:pPr>
              <w:jc w:val="center"/>
            </w:pPr>
            <w:r>
              <w:rPr>
                <w:rFonts w:ascii="Arial" w:hAnsi="Arial"/>
                <w:b/>
                <w:color w:val="1976D2"/>
                <w:sz w:val="15"/>
              </w:rPr>
              <w:t>32</w:t>
            </w:r>
          </w:p>
        </w:tc>
        <w:tc>
          <w:tcPr>
            <w:tcW w:type="dxa" w:w="3360"/>
            <w:shd w:fill="FFFFFF"/>
            <w:tcMar>
              <w:top w:w="15" w:type="dxa"/>
              <w:bottom w:w="15" w:type="dxa"/>
              <w:left w:w="50" w:type="dxa"/>
              <w:right w:w="50" w:type="dxa"/>
            </w:tcMar>
          </w:tcPr>
          <w:p>
            <w:r>
              <w:rPr>
                <w:rFonts w:ascii="Arial" w:hAnsi="Arial"/>
                <w:color w:val="212B36"/>
                <w:sz w:val="15"/>
              </w:rPr>
              <w:t>Continuous 32-dimensional Gaussian latent representation space</w:t>
            </w:r>
          </w:p>
        </w:tc>
      </w:tr>
      <w:tr>
        <w:tc>
          <w:tcPr>
            <w:tcW w:type="dxa" w:w="3360"/>
            <w:shd w:fill="F8FAFC"/>
            <w:tcMar>
              <w:top w:w="15" w:type="dxa"/>
              <w:bottom w:w="15" w:type="dxa"/>
              <w:left w:w="50" w:type="dxa"/>
              <w:right w:w="50" w:type="dxa"/>
            </w:tcMar>
          </w:tcPr>
          <w:p>
            <w:r>
              <w:rPr>
                <w:rFonts w:ascii="Arial" w:hAnsi="Arial"/>
                <w:b/>
                <w:color w:val="0F2540"/>
                <w:sz w:val="15"/>
              </w:rPr>
              <w:t>Final Reconstruction Loss (MSE)</w:t>
            </w:r>
          </w:p>
        </w:tc>
        <w:tc>
          <w:tcPr>
            <w:tcW w:type="dxa" w:w="3360"/>
            <w:shd w:fill="F8FAFC"/>
            <w:tcMar>
              <w:top w:w="15" w:type="dxa"/>
              <w:bottom w:w="15" w:type="dxa"/>
              <w:left w:w="50" w:type="dxa"/>
              <w:right w:w="50" w:type="dxa"/>
            </w:tcMar>
          </w:tcPr>
          <w:p>
            <w:pPr>
              <w:jc w:val="center"/>
            </w:pPr>
            <w:r>
              <w:rPr>
                <w:rFonts w:ascii="Arial" w:hAnsi="Arial"/>
                <w:b/>
                <w:color w:val="1976D2"/>
                <w:sz w:val="15"/>
              </w:rPr>
              <w:t>10.1951</w:t>
            </w:r>
          </w:p>
        </w:tc>
        <w:tc>
          <w:tcPr>
            <w:tcW w:type="dxa" w:w="3360"/>
            <w:shd w:fill="F8FAFC"/>
            <w:tcMar>
              <w:top w:w="15" w:type="dxa"/>
              <w:bottom w:w="15" w:type="dxa"/>
              <w:left w:w="50" w:type="dxa"/>
              <w:right w:w="50" w:type="dxa"/>
            </w:tcMar>
          </w:tcPr>
          <w:p>
            <w:r>
              <w:rPr>
                <w:rFonts w:ascii="Arial" w:hAnsi="Arial"/>
                <w:color w:val="212B36"/>
                <w:sz w:val="15"/>
              </w:rPr>
              <w:t>Pixel-level reconstruction error between input and decoded faces</w:t>
            </w:r>
          </w:p>
        </w:tc>
      </w:tr>
      <w:tr>
        <w:tc>
          <w:tcPr>
            <w:tcW w:type="dxa" w:w="3360"/>
            <w:shd w:fill="FFFFFF"/>
            <w:tcMar>
              <w:top w:w="15" w:type="dxa"/>
              <w:bottom w:w="15" w:type="dxa"/>
              <w:left w:w="50" w:type="dxa"/>
              <w:right w:w="50" w:type="dxa"/>
            </w:tcMar>
          </w:tcPr>
          <w:p>
            <w:r>
              <w:rPr>
                <w:rFonts w:ascii="Arial" w:hAnsi="Arial"/>
                <w:b/>
                <w:color w:val="0F2540"/>
                <w:sz w:val="15"/>
              </w:rPr>
              <w:t>Final KL Divergence (D_KL)</w:t>
            </w:r>
          </w:p>
        </w:tc>
        <w:tc>
          <w:tcPr>
            <w:tcW w:type="dxa" w:w="3360"/>
            <w:shd w:fill="FFFFFF"/>
            <w:tcMar>
              <w:top w:w="15" w:type="dxa"/>
              <w:bottom w:w="15" w:type="dxa"/>
              <w:left w:w="50" w:type="dxa"/>
              <w:right w:w="50" w:type="dxa"/>
            </w:tcMar>
          </w:tcPr>
          <w:p>
            <w:pPr>
              <w:jc w:val="center"/>
            </w:pPr>
            <w:r>
              <w:rPr>
                <w:rFonts w:ascii="Arial" w:hAnsi="Arial"/>
                <w:b/>
                <w:color w:val="1976D2"/>
                <w:sz w:val="15"/>
              </w:rPr>
              <w:t>117.88</w:t>
            </w:r>
          </w:p>
        </w:tc>
        <w:tc>
          <w:tcPr>
            <w:tcW w:type="dxa" w:w="3360"/>
            <w:shd w:fill="FFFFFF"/>
            <w:tcMar>
              <w:top w:w="15" w:type="dxa"/>
              <w:bottom w:w="15" w:type="dxa"/>
              <w:left w:w="50" w:type="dxa"/>
              <w:right w:w="50" w:type="dxa"/>
            </w:tcMar>
          </w:tcPr>
          <w:p>
            <w:r>
              <w:rPr>
                <w:rFonts w:ascii="Arial" w:hAnsi="Arial"/>
                <w:color w:val="212B36"/>
                <w:sz w:val="15"/>
              </w:rPr>
              <w:t>Degree of alignment between posterior q_ϕ(z|x) and prior N(0, I)</w:t>
            </w:r>
          </w:p>
        </w:tc>
      </w:tr>
      <w:tr>
        <w:tc>
          <w:tcPr>
            <w:tcW w:type="dxa" w:w="3360"/>
            <w:shd w:fill="F8FAFC"/>
            <w:tcMar>
              <w:top w:w="15" w:type="dxa"/>
              <w:bottom w:w="15" w:type="dxa"/>
              <w:left w:w="50" w:type="dxa"/>
              <w:right w:w="50" w:type="dxa"/>
            </w:tcMar>
          </w:tcPr>
          <w:p>
            <w:r>
              <w:rPr>
                <w:rFonts w:ascii="Arial" w:hAnsi="Arial"/>
                <w:b/>
                <w:color w:val="0F2540"/>
                <w:sz w:val="15"/>
              </w:rPr>
              <w:t>Final Composite ELBO Loss</w:t>
            </w:r>
          </w:p>
        </w:tc>
        <w:tc>
          <w:tcPr>
            <w:tcW w:type="dxa" w:w="3360"/>
            <w:shd w:fill="F8FAFC"/>
            <w:tcMar>
              <w:top w:w="15" w:type="dxa"/>
              <w:bottom w:w="15" w:type="dxa"/>
              <w:left w:w="50" w:type="dxa"/>
              <w:right w:w="50" w:type="dxa"/>
            </w:tcMar>
          </w:tcPr>
          <w:p>
            <w:pPr>
              <w:jc w:val="center"/>
            </w:pPr>
            <w:r>
              <w:rPr>
                <w:rFonts w:ascii="Arial" w:hAnsi="Arial"/>
                <w:b/>
                <w:color w:val="1976D2"/>
                <w:sz w:val="15"/>
              </w:rPr>
              <w:t>10.7845</w:t>
            </w:r>
          </w:p>
        </w:tc>
        <w:tc>
          <w:tcPr>
            <w:tcW w:type="dxa" w:w="3360"/>
            <w:shd w:fill="F8FAFC"/>
            <w:tcMar>
              <w:top w:w="15" w:type="dxa"/>
              <w:bottom w:w="15" w:type="dxa"/>
              <w:left w:w="50" w:type="dxa"/>
              <w:right w:w="50" w:type="dxa"/>
            </w:tcMar>
          </w:tcPr>
          <w:p>
            <w:r>
              <w:rPr>
                <w:rFonts w:ascii="Arial" w:hAnsi="Arial"/>
                <w:color w:val="212B36"/>
                <w:sz w:val="15"/>
              </w:rPr>
              <w:t>Combined variational lower bound objective value</w:t>
            </w:r>
          </w:p>
        </w:tc>
      </w:tr>
      <w:tr>
        <w:tc>
          <w:tcPr>
            <w:tcW w:type="dxa" w:w="3360"/>
            <w:shd w:fill="FFFFFF"/>
            <w:tcMar>
              <w:top w:w="15" w:type="dxa"/>
              <w:bottom w:w="15" w:type="dxa"/>
              <w:left w:w="50" w:type="dxa"/>
              <w:right w:w="50" w:type="dxa"/>
            </w:tcMar>
          </w:tcPr>
          <w:p>
            <w:r>
              <w:rPr>
                <w:rFonts w:ascii="Arial" w:hAnsi="Arial"/>
                <w:b/>
                <w:color w:val="0F2540"/>
                <w:sz w:val="15"/>
              </w:rPr>
              <w:t>Prior Sampling Fidelity</w:t>
            </w:r>
          </w:p>
        </w:tc>
        <w:tc>
          <w:tcPr>
            <w:tcW w:type="dxa" w:w="3360"/>
            <w:shd w:fill="FFFFFF"/>
            <w:tcMar>
              <w:top w:w="15" w:type="dxa"/>
              <w:bottom w:w="15" w:type="dxa"/>
              <w:left w:w="50" w:type="dxa"/>
              <w:right w:w="50" w:type="dxa"/>
            </w:tcMar>
          </w:tcPr>
          <w:p>
            <w:pPr>
              <w:jc w:val="center"/>
            </w:pPr>
            <w:r>
              <w:rPr>
                <w:rFonts w:ascii="Arial" w:hAnsi="Arial"/>
                <w:b/>
                <w:color w:val="1976D2"/>
                <w:sz w:val="15"/>
              </w:rPr>
              <w:t>High structural consistency</w:t>
            </w:r>
          </w:p>
        </w:tc>
        <w:tc>
          <w:tcPr>
            <w:tcW w:type="dxa" w:w="3360"/>
            <w:shd w:fill="FFFFFF"/>
            <w:tcMar>
              <w:top w:w="15" w:type="dxa"/>
              <w:bottom w:w="15" w:type="dxa"/>
              <w:left w:w="50" w:type="dxa"/>
              <w:right w:w="50" w:type="dxa"/>
            </w:tcMar>
          </w:tcPr>
          <w:p>
            <w:r>
              <w:rPr>
                <w:rFonts w:ascii="Arial" w:hAnsi="Arial"/>
                <w:color w:val="212B36"/>
                <w:sz w:val="15"/>
              </w:rPr>
              <w:t>Generates coherent facial features (eyes, nose, mouth, lighting)</w:t>
            </w:r>
          </w:p>
        </w:tc>
      </w:tr>
    </w:tbl>
    <w:p>
      <w:pPr>
        <w:spacing w:after="20"/>
      </w:pPr>
    </w:p>
    <w:p>
      <w:pPr>
        <w:keepNext/>
        <w:spacing w:before="100" w:after="40"/>
      </w:pPr>
      <w:r>
        <w:rPr>
          <w:rFonts w:ascii="Arial" w:hAnsi="Arial"/>
          <w:b/>
          <w:color w:val="1976D2"/>
          <w:sz w:val="20"/>
        </w:rPr>
        <w:t>2.8 Observations and Technical Discussion</w:t>
      </w:r>
    </w:p>
    <w:p>
      <w:pPr>
        <w:pStyle w:val="ListBullet"/>
        <w:spacing w:before="0" w:after="30" w:line="259" w:lineRule="auto"/>
      </w:pPr>
      <w:r>
        <w:rPr>
          <w:rFonts w:ascii="Arial" w:hAnsi="Arial"/>
          <w:b/>
          <w:color w:val="0F2540"/>
          <w:sz w:val="17"/>
        </w:rPr>
        <w:t xml:space="preserve">1. ELBO Optimization: </w:t>
      </w:r>
      <w:r>
        <w:rPr>
          <w:rFonts w:ascii="Arial" w:hAnsi="Arial"/>
          <w:color w:val="212B36"/>
          <w:sz w:val="17"/>
        </w:rPr>
        <w:t>Reconstruction loss stabilized around 10.1951 while KL divergence regularized near 117.88, preventing latent clusters from spreading into disconnected islands.</w:t>
      </w:r>
    </w:p>
    <w:p>
      <w:pPr>
        <w:pStyle w:val="ListBullet"/>
        <w:spacing w:before="0" w:after="30" w:line="259" w:lineRule="auto"/>
      </w:pPr>
      <w:r>
        <w:rPr>
          <w:rFonts w:ascii="Arial" w:hAnsi="Arial"/>
          <w:b/>
          <w:color w:val="0F2540"/>
          <w:sz w:val="17"/>
        </w:rPr>
        <w:t xml:space="preserve">2. Plausibility of Generated Faces: </w:t>
      </w:r>
      <w:r>
        <w:rPr>
          <w:rFonts w:ascii="Arial" w:hAnsi="Arial"/>
          <w:color w:val="212B36"/>
          <w:sz w:val="17"/>
        </w:rPr>
        <w:t>Figure 2.3 shows that novel faces generated by sampling z ~ N(0, I) exhibit realistic facial geometry, symmetrical eye positioning, nose structure, and mouth definition without mode collapse.</w:t>
      </w:r>
    </w:p>
    <w:p>
      <w:pPr>
        <w:pStyle w:val="ListBullet"/>
        <w:spacing w:before="0" w:after="30" w:line="259" w:lineRule="auto"/>
      </w:pPr>
      <w:r>
        <w:rPr>
          <w:rFonts w:ascii="Arial" w:hAnsi="Arial"/>
          <w:b/>
          <w:color w:val="0F2540"/>
          <w:sz w:val="17"/>
        </w:rPr>
        <w:t xml:space="preserve">3. Continuous Latent Feature Morphing: </w:t>
      </w:r>
      <w:r>
        <w:rPr>
          <w:rFonts w:ascii="Arial" w:hAnsi="Arial"/>
          <w:color w:val="212B36"/>
          <w:sz w:val="17"/>
        </w:rPr>
        <w:t>Figure 2.4 demonstrates smooth linear interpolation z(α) = (1-α)z_A + αz_B between Face A and Face B: the beard gradually fades, facial geometry shifts seamlessly, and smile intensity develops progressively without sudden jumps.</w:t>
      </w:r>
    </w:p>
    <w:p>
      <w:pPr>
        <w:pStyle w:val="ListBullet"/>
        <w:spacing w:before="0" w:after="30" w:line="259" w:lineRule="auto"/>
      </w:pPr>
      <w:r>
        <w:rPr>
          <w:rFonts w:ascii="Arial" w:hAnsi="Arial"/>
          <w:b/>
          <w:color w:val="0F2540"/>
          <w:sz w:val="17"/>
        </w:rPr>
        <w:t xml:space="preserve">4. Creative Applications in Design &amp; VFX: </w:t>
      </w:r>
      <w:r>
        <w:rPr>
          <w:rFonts w:ascii="Arial" w:hAnsi="Arial"/>
          <w:color w:val="212B36"/>
          <w:sz w:val="17"/>
        </w:rPr>
        <w:t>Figure 2.5 confirms that individual latent dimensions govern continuous semantic features (such as lighting angle and face width), enabling applications in character customizers, digital aging, and procedural avatars.</w:t>
      </w:r>
    </w:p>
    <w:p>
      <w:pPr>
        <w:keepNext/>
        <w:spacing w:before="100" w:after="40"/>
      </w:pPr>
      <w:r>
        <w:rPr>
          <w:rFonts w:ascii="Arial" w:hAnsi="Arial"/>
          <w:b/>
          <w:color w:val="1976D2"/>
          <w:sz w:val="20"/>
        </w:rPr>
        <w:t>2.9 Conclusion</w:t>
      </w:r>
    </w:p>
    <w:p>
      <w:pPr>
        <w:spacing w:before="0" w:after="40" w:line="259" w:lineRule="auto"/>
      </w:pPr>
      <w:r>
        <w:rPr>
          <w:rFonts w:ascii="Arial" w:hAnsi="Arial"/>
          <w:color w:val="212B36"/>
          <w:sz w:val="17"/>
        </w:rPr>
        <w:t>A Convolutional Variational Autoencoder was successfully implemented and trained on facial image data. The reparameterization trick enabled gradient backpropagation through stochastic latent nodes. The resulting continuous latent space successfully synthesized novel human faces and performed smooth facial feature interpolation, fulfilling the requirements for creative applications in entertainment and design.</w:t>
      </w:r>
    </w:p>
    <w:p>
      <w:pPr>
        <w:keepNext/>
        <w:spacing w:before="140" w:after="40"/>
      </w:pPr>
      <w:r>
        <w:rPr>
          <w:rFonts w:ascii="Arial" w:hAnsi="Arial"/>
          <w:b/>
          <w:color w:val="0F2540"/>
          <w:sz w:val="23"/>
        </w:rPr>
        <w:t>Overall Experiment Conclusion</w:t>
      </w:r>
    </w:p>
    <w:p>
      <w:pPr>
        <w:spacing w:before="0" w:after="40" w:line="259" w:lineRule="auto"/>
      </w:pPr>
      <w:r>
        <w:rPr>
          <w:rFonts w:ascii="Arial" w:hAnsi="Arial"/>
          <w:color w:val="212B36"/>
          <w:sz w:val="17"/>
        </w:rPr>
        <w:t>In this laboratory experiment, two distinct autoencoder architectures were implemented, evaluated, and contrasted:</w:t>
        <w:br/>
        <w:t>1. Denoising Autoencoder (Part 1): Demonstrated that deterministic bottleneck compression (784D -&gt; 2D) forces the network to learn a non-linear manifold representation. Training with corrupted inputs enabled robust denoising with a +1.03 dB PSNR improvement, making deterministic autoencoders suitable for compression, filtering, and dimensionality reduction.</w:t>
        <w:br/>
        <w:t>2. Variational Autoencoder (Part 2): Demonstrated that imposing a probabilistic Gaussian prior via KL divergence regularization prevents latent voids and creates a continuous latent manifold. With the reparameterization trick, the Conv-VAE enabled generative sampling of novel human faces and smooth facial feature morphing between identities, proving the utility of VAEs for generative modeling and creative media.</w:t>
      </w:r>
    </w:p>
    <w:p>
      <w:pPr>
        <w:keepNext/>
        <w:spacing w:before="140" w:after="40"/>
      </w:pPr>
      <w:r>
        <w:rPr>
          <w:rFonts w:ascii="Arial" w:hAnsi="Arial"/>
          <w:b/>
          <w:color w:val="0F2540"/>
          <w:sz w:val="23"/>
        </w:rPr>
        <w:t>References</w:t>
      </w:r>
    </w:p>
    <w:p>
      <w:pPr>
        <w:pStyle w:val="ListBullet"/>
        <w:spacing w:before="0" w:after="30" w:line="259" w:lineRule="auto"/>
      </w:pPr>
      <w:r>
        <w:rPr>
          <w:rFonts w:ascii="Arial" w:hAnsi="Arial"/>
          <w:b/>
          <w:color w:val="0F2540"/>
          <w:sz w:val="17"/>
        </w:rPr>
        <w:t xml:space="preserve">1. </w:t>
      </w:r>
      <w:r>
        <w:rPr>
          <w:rFonts w:ascii="Arial" w:hAnsi="Arial"/>
          <w:color w:val="212B36"/>
          <w:sz w:val="17"/>
        </w:rPr>
        <w:t>Goodfellow, I., Bengio, Y., &amp; Courville, A. (2016). Deep Learning. MIT Press, Chapter 14: Autoencoders.</w:t>
      </w:r>
    </w:p>
    <w:p>
      <w:pPr>
        <w:pStyle w:val="ListBullet"/>
        <w:spacing w:before="0" w:after="30" w:line="259" w:lineRule="auto"/>
      </w:pPr>
      <w:r>
        <w:rPr>
          <w:rFonts w:ascii="Arial" w:hAnsi="Arial"/>
          <w:b/>
          <w:color w:val="0F2540"/>
          <w:sz w:val="17"/>
        </w:rPr>
        <w:t xml:space="preserve">2. </w:t>
      </w:r>
      <w:r>
        <w:rPr>
          <w:rFonts w:ascii="Arial" w:hAnsi="Arial"/>
          <w:color w:val="212B36"/>
          <w:sz w:val="17"/>
        </w:rPr>
        <w:t>Kingma, D. P., &amp; Welling, M. (2014). Auto-Encoding Variational Bayes. International Conference on Learning Representations (ICLR 2014).</w:t>
      </w:r>
    </w:p>
    <w:p>
      <w:pPr>
        <w:pStyle w:val="ListBullet"/>
        <w:spacing w:before="0" w:after="30" w:line="259" w:lineRule="auto"/>
      </w:pPr>
      <w:r>
        <w:rPr>
          <w:rFonts w:ascii="Arial" w:hAnsi="Arial"/>
          <w:b/>
          <w:color w:val="0F2540"/>
          <w:sz w:val="17"/>
        </w:rPr>
        <w:t xml:space="preserve">3. </w:t>
      </w:r>
      <w:r>
        <w:rPr>
          <w:rFonts w:ascii="Arial" w:hAnsi="Arial"/>
          <w:color w:val="212B36"/>
          <w:sz w:val="17"/>
        </w:rPr>
        <w:t>Vincent, P., Larochelle, H., Bengio, Y., &amp; Manzagol, P. A. (2008). Extracting and composing robust features with denoising autoencoders. Proceedings of the 25th ICML, 1096-1103.</w:t>
      </w:r>
    </w:p>
    <w:p>
      <w:pPr>
        <w:pStyle w:val="ListBullet"/>
        <w:spacing w:before="0" w:after="30" w:line="259" w:lineRule="auto"/>
      </w:pPr>
      <w:r>
        <w:rPr>
          <w:rFonts w:ascii="Arial" w:hAnsi="Arial"/>
          <w:b/>
          <w:color w:val="0F2540"/>
          <w:sz w:val="17"/>
        </w:rPr>
        <w:t xml:space="preserve">4. </w:t>
      </w:r>
      <w:r>
        <w:rPr>
          <w:rFonts w:ascii="Arial" w:hAnsi="Arial"/>
          <w:color w:val="212B36"/>
          <w:sz w:val="17"/>
        </w:rPr>
        <w:t>MIT Academy of Engineering Course Curriculum (Rev. 2022). Generative Artificial Intelligence Lab (Course Code: 2304422L), School of Computer Engineering.</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7"/>
      </w:rPr>
      <w:t xml:space="preserve">Generative AI Lab (2304422L) | Experiment No. 2 | </w:t>
    </w:r>
    <w:r>
      <w:rPr>
        <w:rFonts w:ascii="Arial" w:hAnsi="Arial"/>
        <w:b/>
        <w:color w:val="0F2540"/>
        <w:sz w:val="17"/>
      </w:rPr>
      <w:t>Abhay Bhise (PRN: 202402040016)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MIT Academy of Engineering, Pune | School of Computer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