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3A57"/>
        </w:rPr>
        <w:t>UrbanGenAI — Demonstration Script</w:t>
      </w:r>
    </w:p>
    <w:p>
      <w:r>
        <w:rPr>
          <w:i/>
          <w:color w:val="606060"/>
        </w:rPr>
        <w:t>Live Practical Exam — IA Assignment 1  ·  Rev. A</w:t>
      </w:r>
    </w:p>
    <w:p/>
    <w:p>
      <w:r>
        <w:rPr>
          <w:sz w:val="20"/>
        </w:rPr>
        <w:t>Italic quoted text is a sentence to say close to verbatim. “DO” lines are actions to perform on screen. “VERIFIED” lines are numbers measured and tested in this project — quote them exactly.</w:t>
      </w:r>
    </w:p>
    <w:p>
      <w:pPr>
        <w:pStyle w:val="Heading2"/>
      </w:pPr>
      <w:r>
        <w:t>Pre-flight checklist</w:t>
      </w:r>
    </w:p>
    <w:p>
      <w:pPr>
        <w:pStyle w:val="ListBullet"/>
      </w:pPr>
      <w:r>
        <w:t>Backend running — 127.0.0.1:8000 — /status shows all five models Trained</w:t>
      </w:r>
    </w:p>
    <w:p>
      <w:pPr>
        <w:pStyle w:val="ListBullet"/>
      </w:pPr>
      <w:r>
        <w:t>Frontend running — localhost:5173 — camera + screen share ON</w:t>
      </w:r>
    </w:p>
    <w:p>
      <w:pPr>
        <w:pStyle w:val="ListBullet"/>
      </w:pPr>
      <w:r>
        <w:t>This document open on a second device, or printed</w:t>
      </w:r>
    </w:p>
    <w:p>
      <w:pPr>
        <w:pStyle w:val="ListBullet"/>
      </w:pPr>
      <w:r>
        <w:t>Staged for upload: UCMerced_LandUse/Images/agricultural/agricultural00.tif</w:t>
      </w:r>
    </w:p>
    <w:p>
      <w:pPr>
        <w:pStyle w:val="ListBullet"/>
      </w:pPr>
      <w:r>
        <w:t>Staged for upload: UCMerced_LandUse/Images/harbor/harbor00.tif</w:t>
      </w:r>
    </w:p>
    <w:p>
      <w:pPr>
        <w:pStyle w:val="ListBullet"/>
      </w:pPr>
      <w:r>
        <w:t>Staged for upload: any UCMerced/denseresidential/*.tif (AE hardest-case demo)</w:t>
      </w:r>
    </w:p>
    <w:p>
      <w:r>
        <w:br w:type="page"/>
      </w:r>
    </w:p>
    <w:p>
      <w:pPr>
        <w:pStyle w:val="Heading1"/>
      </w:pPr>
      <w:r>
        <w:rPr>
          <w:color w:val="2B5F8A"/>
        </w:rPr>
        <w:t xml:space="preserve">01  </w:t>
      </w:r>
      <w:r>
        <w:t>Problem, Objectives &amp; Dataset</w:t>
      </w:r>
      <w:r>
        <w:rPr>
          <w:b w:val="0"/>
          <w:i/>
          <w:color w:val="606060"/>
          <w:sz w:val="20"/>
        </w:rPr>
        <w:t xml:space="preserve">   (~45s)</w:t>
      </w:r>
    </w:p>
    <w:p>
      <w:pPr>
        <w:spacing w:after="120"/>
        <w:ind w:left="432"/>
      </w:pPr>
      <w:r>
        <w:rPr>
          <w:b/>
          <w:color w:val="9A6A1F"/>
          <w:sz w:val="18"/>
        </w:rPr>
        <w:t>Rubric 1 · 10 marks</w:t>
      </w:r>
    </w:p>
    <w:p>
      <w:pPr>
        <w:spacing w:after="80"/>
        <w:ind w:left="432"/>
      </w:pPr>
      <w:r>
        <w:rPr>
          <w:b/>
          <w:color w:val="2B5F8A"/>
          <w:sz w:val="18"/>
        </w:rPr>
        <w:t xml:space="preserve">SAY  </w:t>
      </w:r>
    </w:p>
    <w:p>
      <w:pPr>
        <w:spacing w:after="160"/>
        <w:ind w:left="432"/>
      </w:pPr>
      <w:r>
        <w:rPr>
          <w:i/>
        </w:rPr>
        <w:t>“Cities have far more land parcels than planners can manually inspect, classify, or monitor for irregular development. UrbanGenAI applies four generative and representation-learning models to that real problem — each doing a distinct, complementary job — rather than treating generative AI as one generic image generator.”</w:t>
      </w:r>
    </w:p>
    <w:p>
      <w:pPr>
        <w:spacing w:after="160"/>
        <w:ind w:left="432"/>
      </w:pPr>
      <w:r>
        <w:rPr>
          <w:i/>
        </w:rPr>
        <w:t>“We use the UCMerced Land Use dataset: 2,100 real aerial tiles across 21 zoning categories, 256-by-256 resolution — a standard, well-cited benchmark for land-use classification, and small enough to train all four models end-to-end ourselves within our timeline.”</w:t>
      </w:r>
    </w:p>
    <w:p>
      <w:pPr>
        <w:pStyle w:val="Heading1"/>
      </w:pPr>
      <w:r>
        <w:rPr>
          <w:color w:val="2B5F8A"/>
        </w:rPr>
        <w:t xml:space="preserve">02  </w:t>
      </w:r>
      <w:r>
        <w:t>Model Selection — Four Models, Four Jobs</w:t>
      </w:r>
      <w:r>
        <w:rPr>
          <w:b w:val="0"/>
          <w:i/>
          <w:color w:val="606060"/>
          <w:sz w:val="20"/>
        </w:rPr>
        <w:t xml:space="preserve">   (~45s)</w:t>
      </w:r>
    </w:p>
    <w:p>
      <w:pPr>
        <w:spacing w:after="120"/>
        <w:ind w:left="432"/>
      </w:pPr>
      <w:r>
        <w:rPr>
          <w:b/>
          <w:color w:val="9A6A1F"/>
          <w:sz w:val="18"/>
        </w:rPr>
        <w:t>Rubric 2 · 10 marks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63A57"/>
          </w:tcPr>
          <w:p>
            <w:pPr>
              <w:spacing w:after="40"/>
            </w:pPr>
            <w:r>
              <w:rPr>
                <w:b/>
                <w:color w:val="FFFFFF"/>
                <w:sz w:val="19"/>
              </w:rPr>
              <w:t>Model</w:t>
            </w:r>
          </w:p>
        </w:tc>
        <w:tc>
          <w:tcPr>
            <w:tcW w:type="dxa" w:w="2880"/>
            <w:shd w:fill="163A57"/>
          </w:tcPr>
          <w:p>
            <w:pPr>
              <w:spacing w:after="40"/>
            </w:pPr>
            <w:r>
              <w:rPr>
                <w:b/>
                <w:color w:val="FFFFFF"/>
                <w:sz w:val="19"/>
              </w:rPr>
              <w:t>Role in this project</w:t>
            </w:r>
          </w:p>
        </w:tc>
        <w:tc>
          <w:tcPr>
            <w:tcW w:type="dxa" w:w="2880"/>
            <w:shd w:fill="163A57"/>
          </w:tcPr>
          <w:p>
            <w:pPr>
              <w:spacing w:after="40"/>
            </w:pPr>
            <w:r>
              <w:rPr>
                <w:b/>
                <w:color w:val="FFFFFF"/>
                <w:sz w:val="19"/>
              </w:rPr>
              <w:t>Why this one</w:t>
            </w:r>
          </w:p>
        </w:tc>
      </w:tr>
      <w:tr>
        <w:tc>
          <w:tcPr>
            <w:tcW w:type="dxa" w:w="2880"/>
          </w:tcPr>
          <w:p>
            <w:pPr>
              <w:spacing w:after="40"/>
            </w:pPr>
            <w:r>
              <w:rPr>
                <w:b/>
                <w:sz w:val="19"/>
              </w:rPr>
              <w:t>Autoencoder</w:t>
            </w:r>
          </w:p>
        </w:tc>
        <w:tc>
          <w:tcPr>
            <w:tcW w:type="dxa" w:w="2880"/>
          </w:tcPr>
          <w:p>
            <w:pPr>
              <w:spacing w:after="40"/>
            </w:pPr>
            <w:r>
              <w:rPr>
                <w:sz w:val="19"/>
              </w:rPr>
              <w:t>Denoise / restore imagery before analysis</w:t>
            </w:r>
          </w:p>
        </w:tc>
        <w:tc>
          <w:tcPr>
            <w:tcW w:type="dxa" w:w="2880"/>
          </w:tcPr>
          <w:p>
            <w:pPr>
              <w:spacing w:after="40"/>
            </w:pPr>
            <w:r>
              <w:rPr>
                <w:sz w:val="19"/>
              </w:rPr>
              <w:t>Pretrained ResNet18 encoder + U-Net decoder — cleans degraded input for every downstream model</w:t>
            </w:r>
          </w:p>
        </w:tc>
      </w:tr>
      <w:tr>
        <w:tc>
          <w:tcPr>
            <w:tcW w:type="dxa" w:w="2880"/>
          </w:tcPr>
          <w:p>
            <w:pPr>
              <w:spacing w:after="40"/>
            </w:pPr>
            <w:r>
              <w:rPr>
                <w:b/>
                <w:sz w:val="19"/>
              </w:rPr>
              <w:t>VAE</w:t>
            </w:r>
          </w:p>
        </w:tc>
        <w:tc>
          <w:tcPr>
            <w:tcW w:type="dxa" w:w="2880"/>
          </w:tcPr>
          <w:p>
            <w:pPr>
              <w:spacing w:after="40"/>
            </w:pPr>
            <w:r>
              <w:rPr>
                <w:sz w:val="19"/>
              </w:rPr>
              <w:t>Anomaly detection + latent exploration</w:t>
            </w:r>
          </w:p>
        </w:tc>
        <w:tc>
          <w:tcPr>
            <w:tcW w:type="dxa" w:w="2880"/>
          </w:tcPr>
          <w:p>
            <w:pPr>
              <w:spacing w:after="40"/>
            </w:pPr>
            <w:r>
              <w:rPr>
                <w:sz w:val="19"/>
              </w:rPr>
              <w:t>Reconstruction error is a free, unsupervised “does this match normal land use” signal</w:t>
            </w:r>
          </w:p>
        </w:tc>
      </w:tr>
      <w:tr>
        <w:tc>
          <w:tcPr>
            <w:tcW w:type="dxa" w:w="2880"/>
          </w:tcPr>
          <w:p>
            <w:pPr>
              <w:spacing w:after="40"/>
            </w:pPr>
            <w:r>
              <w:rPr>
                <w:b/>
                <w:sz w:val="19"/>
              </w:rPr>
              <w:t>GAN</w:t>
            </w:r>
          </w:p>
        </w:tc>
        <w:tc>
          <w:tcPr>
            <w:tcW w:type="dxa" w:w="2880"/>
          </w:tcPr>
          <w:p>
            <w:pPr>
              <w:spacing w:after="40"/>
            </w:pPr>
            <w:r>
              <w:rPr>
                <w:sz w:val="19"/>
              </w:rPr>
              <w:t>Synthetic tile generation</w:t>
            </w:r>
          </w:p>
        </w:tc>
        <w:tc>
          <w:tcPr>
            <w:tcW w:type="dxa" w:w="2880"/>
          </w:tcPr>
          <w:p>
            <w:pPr>
              <w:spacing w:after="40"/>
            </w:pPr>
            <w:r>
              <w:rPr>
                <w:sz w:val="19"/>
              </w:rPr>
              <w:t>Class-conditional generation for augmentation / scenario variants</w:t>
            </w:r>
          </w:p>
        </w:tc>
      </w:tr>
      <w:tr>
        <w:tc>
          <w:tcPr>
            <w:tcW w:type="dxa" w:w="2880"/>
          </w:tcPr>
          <w:p>
            <w:pPr>
              <w:spacing w:after="40"/>
            </w:pPr>
            <w:r>
              <w:rPr>
                <w:b/>
                <w:sz w:val="19"/>
              </w:rPr>
              <w:t>Transformer (MiniGPT)</w:t>
            </w:r>
          </w:p>
        </w:tc>
        <w:tc>
          <w:tcPr>
            <w:tcW w:type="dxa" w:w="2880"/>
          </w:tcPr>
          <w:p>
            <w:pPr>
              <w:spacing w:after="40"/>
            </w:pPr>
            <w:r>
              <w:rPr>
                <w:sz w:val="19"/>
              </w:rPr>
              <w:t>Planning-recommendation text</w:t>
            </w:r>
          </w:p>
        </w:tc>
        <w:tc>
          <w:tcPr>
            <w:tcW w:type="dxa" w:w="2880"/>
          </w:tcPr>
          <w:p>
            <w:pPr>
              <w:spacing w:after="40"/>
            </w:pPr>
            <w:r>
              <w:rPr>
                <w:sz w:val="19"/>
              </w:rPr>
              <w:t>Turns classified, verified data into an actual written recommendation</w:t>
            </w:r>
          </w:p>
        </w:tc>
      </w:tr>
    </w:tbl>
    <w:p/>
    <w:p>
      <w:pPr>
        <w:spacing w:after="80"/>
        <w:ind w:left="432"/>
      </w:pPr>
      <w:r>
        <w:rPr>
          <w:b/>
          <w:color w:val="2B5F8A"/>
          <w:sz w:val="18"/>
        </w:rPr>
        <w:t xml:space="preserve">SAY  </w:t>
      </w:r>
    </w:p>
    <w:p>
      <w:pPr>
        <w:spacing w:after="160"/>
        <w:ind w:left="432"/>
      </w:pPr>
      <w:r>
        <w:rPr>
          <w:i/>
        </w:rPr>
        <w:t>“We didn't choose these four because a syllabus lists them — each covers a different, real stage of an urban-planning pipeline: the Autoencoder cleans data, the VAE audits it, the GAN augments it, and the Transformer turns analysis into a recommendation.”</w:t>
      </w:r>
    </w:p>
    <w:p>
      <w:r>
        <w:br w:type="page"/>
      </w:r>
    </w:p>
    <w:p>
      <w:pPr>
        <w:pStyle w:val="Heading1"/>
      </w:pPr>
      <w:r>
        <w:rPr>
          <w:color w:val="2B5F8A"/>
        </w:rPr>
        <w:t xml:space="preserve">03  </w:t>
      </w:r>
      <w:r>
        <w:t>Autoencoder — Denoising Restoration</w:t>
      </w:r>
      <w:r>
        <w:rPr>
          <w:b w:val="0"/>
          <w:i/>
          <w:color w:val="606060"/>
          <w:sz w:val="20"/>
        </w:rPr>
        <w:t xml:space="preserve">   (~2 min)</w:t>
      </w:r>
    </w:p>
    <w:p>
      <w:pPr>
        <w:spacing w:after="160"/>
        <w:ind w:left="432"/>
      </w:pPr>
      <w:r>
        <w:rPr>
          <w:b/>
          <w:color w:val="A83636"/>
          <w:sz w:val="18"/>
        </w:rPr>
        <w:t xml:space="preserve">DO   </w:t>
      </w:r>
      <w:r>
        <w:rPr>
          <w:color w:val="202020"/>
        </w:rPr>
        <w:t>Open the Autoencoder tab → upload a denseresidential or mobilehomepark tile → Run Inference</w:t>
      </w:r>
    </w:p>
    <w:p>
      <w:pPr>
        <w:spacing w:after="80"/>
        <w:ind w:left="432"/>
      </w:pPr>
      <w:r>
        <w:rPr>
          <w:b/>
          <w:color w:val="2B5F8A"/>
          <w:sz w:val="18"/>
        </w:rPr>
        <w:t xml:space="preserve">SAY — WHILE IT RUNS  </w:t>
      </w:r>
    </w:p>
    <w:p>
      <w:pPr>
        <w:spacing w:after="160"/>
        <w:ind w:left="432"/>
      </w:pPr>
      <w:r>
        <w:rPr>
          <w:i/>
        </w:rPr>
        <w:t>“This is a denoising autoencoder: a pretrained ResNet18 encoder compresses the tile, and a CNN decoder reconstructs it from noise we add at inference. It originally decoded purely from an 8-by-8, 256-channel bottleneck, which measurably lost fine detail on complex tiles — dense residential, harbor, and mobile-home-park all scored around 21 dB PSNR, versus 27 to 28 dB for simpler classes like forest. We fixed that with U-Net-style skip connections — the decoder now also gets the encoder's activations directly at each resolution, so it has a second path back to fine detail instead of forcing everything through one bottleneck.”</w:t>
      </w:r>
    </w:p>
    <w:p>
      <w:pPr>
        <w:spacing w:after="80"/>
        <w:ind w:left="432"/>
      </w:pPr>
      <w:r>
        <w:rPr>
          <w:b/>
          <w:color w:val="2B5F8A"/>
          <w:sz w:val="18"/>
        </w:rPr>
        <w:t xml:space="preserve">SAY — POINTING AT THE RESULT  </w:t>
      </w:r>
    </w:p>
    <w:p>
      <w:pPr>
        <w:spacing w:after="160"/>
        <w:ind w:left="432"/>
      </w:pPr>
      <w:r>
        <w:rPr>
          <w:i/>
        </w:rPr>
        <w:t>“Average PSNR across all 21 classes went from about 25 dB to 29.7 dB — and specifically the hardest classes gained over 7 dB each. That's a targeted fix of a measured weakness, not just a general improvement.”</w:t>
      </w:r>
    </w:p>
    <w:p>
      <w:pPr>
        <w:spacing w:after="240"/>
        <w:ind w:left="432"/>
      </w:pPr>
      <w:r>
        <w:rPr>
          <w:b/>
          <w:color w:val="2F7D5A"/>
          <w:sz w:val="18"/>
        </w:rPr>
        <w:t xml:space="preserve">VERIFIED   </w:t>
      </w:r>
      <w:r>
        <w:rPr>
          <w:rFonts w:ascii="Consolas" w:hAnsi="Consolas"/>
          <w:sz w:val="20"/>
        </w:rPr>
        <w:t>loss = MSE(recon, clean) • avg PSNR: 25dB → 29.7dB • denseresidential: 21.0dB → 28.6dB • harbor: 21.3dB → 28.5dB</w:t>
      </w:r>
    </w:p>
    <w:p>
      <w:pPr>
        <w:pStyle w:val="Heading1"/>
      </w:pPr>
      <w:r>
        <w:rPr>
          <w:color w:val="2B5F8A"/>
        </w:rPr>
        <w:t xml:space="preserve">04  </w:t>
      </w:r>
      <w:r>
        <w:t>VAE — Anomaly Detection &amp; Latent Exploration</w:t>
      </w:r>
      <w:r>
        <w:rPr>
          <w:b w:val="0"/>
          <w:i/>
          <w:color w:val="606060"/>
          <w:sz w:val="20"/>
        </w:rPr>
        <w:t xml:space="preserve">   (~4 min)</w:t>
      </w:r>
    </w:p>
    <w:p>
      <w:pPr>
        <w:spacing w:after="160"/>
        <w:ind w:left="432"/>
      </w:pPr>
      <w:r>
        <w:rPr>
          <w:b/>
          <w:color w:val="A83636"/>
          <w:sz w:val="18"/>
        </w:rPr>
        <w:t xml:space="preserve">DO   </w:t>
      </w:r>
      <w:r>
        <w:rPr>
          <w:color w:val="202020"/>
        </w:rPr>
        <w:t>Open the VAE tab → point at the architecture diagram at the top</w:t>
      </w:r>
    </w:p>
    <w:p>
      <w:pPr>
        <w:spacing w:after="80"/>
        <w:ind w:left="432"/>
      </w:pPr>
      <w:r>
        <w:rPr>
          <w:b/>
          <w:color w:val="2B5F8A"/>
          <w:sz w:val="18"/>
        </w:rPr>
        <w:t xml:space="preserve">SAY — ARCHITECTURE  </w:t>
      </w:r>
    </w:p>
    <w:p>
      <w:pPr>
        <w:spacing w:after="160"/>
        <w:ind w:left="432"/>
      </w:pPr>
      <w:r>
        <w:rPr>
          <w:i/>
        </w:rPr>
        <w:t>“Same pretrained ResNet18 encoder, but two parallel 1-by-1 convolutions produce the mean and log-variance of a probabilistic latent — kept spatial, 8-by-8-by-64, so spatial correspondence isn't lost. We sample with the reparameterization trick: z equals mu plus sigma times epsilon, epsilon drawn from a standard normal. That rewrite matters because you can't backpropagate through a random sample directly — moving the randomness into a separate input keeps the whole path differentiable, so gradients still reach the encoder.”</w:t>
      </w:r>
    </w:p>
    <w:p>
      <w:pPr>
        <w:spacing w:after="80"/>
        <w:ind w:left="432"/>
      </w:pPr>
      <w:r>
        <w:rPr>
          <w:b/>
          <w:color w:val="2B5F8A"/>
          <w:sz w:val="18"/>
        </w:rPr>
        <w:t xml:space="preserve">SAY — LOSS &amp; KL DIVERGENCE  </w:t>
      </w:r>
    </w:p>
    <w:p>
      <w:pPr>
        <w:spacing w:after="160"/>
        <w:ind w:left="432"/>
      </w:pPr>
      <w:r>
        <w:rPr>
          <w:i/>
        </w:rPr>
        <w:t>“The objective is reconstruction loss plus beta times KL divergence — KL divergence penalizes the learned posterior for straying from a standard normal prior. We measured directly on this dataset that a meaningful KL weight actively hurts reconstruction: beta of 0.02 or higher causes full posterior collapse, and even beta 0.05 visibly degrades results. So we deliberately keep beta near zero, prioritizing reconstruction fidelity — a documented, evidence-based decision, not an unset default.”</w:t>
      </w:r>
    </w:p>
    <w:p>
      <w:pPr>
        <w:spacing w:after="160"/>
        <w:ind w:left="432"/>
      </w:pPr>
      <w:r>
        <w:rPr>
          <w:b/>
          <w:color w:val="A83636"/>
          <w:sz w:val="18"/>
        </w:rPr>
        <w:t xml:space="preserve">DO   </w:t>
      </w:r>
      <w:r>
        <w:rPr>
          <w:color w:val="202020"/>
        </w:rPr>
        <w:t>Upload agricultural00.tif → Run Inference → point at the green banner</w:t>
      </w:r>
    </w:p>
    <w:p>
      <w:pPr>
        <w:spacing w:after="80"/>
        <w:ind w:left="432"/>
      </w:pPr>
      <w:r>
        <w:rPr>
          <w:b/>
          <w:color w:val="2B5F8A"/>
          <w:sz w:val="18"/>
        </w:rPr>
        <w:t xml:space="preserve">SAY  </w:t>
      </w:r>
    </w:p>
    <w:p>
      <w:pPr>
        <w:spacing w:after="160"/>
        <w:ind w:left="432"/>
      </w:pPr>
      <w:r>
        <w:rPr>
          <w:i/>
        </w:rPr>
        <w:t>“This is the VAE's actual contribution to the project — anomaly detection. Typical: its reconstruction error sits well below the normal baseline we computed from 294 real tiles, meaning this parcel's pattern matches real land use.”</w:t>
      </w:r>
    </w:p>
    <w:p>
      <w:pPr>
        <w:spacing w:after="160"/>
        <w:ind w:left="432"/>
      </w:pPr>
      <w:r>
        <w:rPr>
          <w:b/>
          <w:color w:val="A83636"/>
          <w:sz w:val="18"/>
        </w:rPr>
        <w:t xml:space="preserve">DO   </w:t>
      </w:r>
      <w:r>
        <w:rPr>
          <w:color w:val="202020"/>
        </w:rPr>
        <w:t>Upload harbor00.tif → Run Inference → point at the orange banner</w:t>
      </w:r>
    </w:p>
    <w:p>
      <w:pPr>
        <w:spacing w:after="80"/>
        <w:ind w:left="432"/>
      </w:pPr>
      <w:r>
        <w:rPr>
          <w:b/>
          <w:color w:val="2B5F8A"/>
          <w:sz w:val="18"/>
        </w:rPr>
        <w:t xml:space="preserve">SAY  </w:t>
      </w:r>
    </w:p>
    <w:p>
      <w:pPr>
        <w:spacing w:after="160"/>
        <w:ind w:left="432"/>
      </w:pPr>
      <w:r>
        <w:rPr>
          <w:i/>
        </w:rPr>
        <w:t>“Now compare a harbor tile — flagged Unusual, reconstruction error well above normal. In deployment, that's the triage signal: a planner can't inspect every parcel in a city, but this flags the ones worth a second look — unregistered construction, illegal land conversion, or an atypical development pattern.”</w:t>
      </w:r>
    </w:p>
    <w:p>
      <w:pPr>
        <w:spacing w:after="80"/>
        <w:ind w:left="432"/>
      </w:pPr>
      <w:r>
        <w:rPr>
          <w:b/>
          <w:color w:val="2B5F8A"/>
          <w:sz w:val="18"/>
        </w:rPr>
        <w:t xml:space="preserve">SAY — WHY THIS IS SPECIFICALLY A VAE THING  </w:t>
      </w:r>
    </w:p>
    <w:p>
      <w:pPr>
        <w:spacing w:after="160"/>
        <w:ind w:left="432"/>
      </w:pPr>
      <w:r>
        <w:rPr>
          <w:i/>
        </w:rPr>
        <w:t>“This works because the VAE was only ever trained to reconstruct real, normal tiles — it never saw an anomaly label. Reconstruction difficulty on new data falls out of that objective for free. A classifier can't give you this: it's forced to pick one of 21 fixed labels for every input, with no notion of how well that input actually fits.”</w:t>
      </w:r>
    </w:p>
    <w:p>
      <w:pPr>
        <w:spacing w:after="160"/>
        <w:ind w:left="432"/>
      </w:pPr>
      <w:r>
        <w:rPr>
          <w:b/>
          <w:color w:val="A83636"/>
          <w:sz w:val="18"/>
        </w:rPr>
        <w:t xml:space="preserve">DO   </w:t>
      </w:r>
      <w:r>
        <w:rPr>
          <w:color w:val="202020"/>
        </w:rPr>
        <w:t>Click “Show Land-Use Interpolation”</w:t>
      </w:r>
    </w:p>
    <w:p>
      <w:pPr>
        <w:spacing w:after="80"/>
        <w:ind w:left="432"/>
      </w:pPr>
      <w:r>
        <w:rPr>
          <w:b/>
          <w:color w:val="2B5F8A"/>
          <w:sz w:val="18"/>
        </w:rPr>
        <w:t xml:space="preserve">SAY  </w:t>
      </w:r>
    </w:p>
    <w:p>
      <w:pPr>
        <w:spacing w:after="160"/>
        <w:ind w:left="432"/>
      </w:pPr>
      <w:r>
        <w:rPr>
          <w:i/>
        </w:rPr>
        <w:t>“This is the second capability: interpolating between two real encoded tiles' latents. Not a new place — a smooth, continuous blend between two land-use states, useful for early conceptual scenario exploration.”</w:t>
      </w:r>
    </w:p>
    <w:p>
      <w:pPr>
        <w:spacing w:after="200"/>
        <w:ind w:left="432"/>
      </w:pPr>
      <w:r>
        <w:rPr>
          <w:b/>
          <w:sz w:val="20"/>
        </w:rPr>
        <w:t xml:space="preserve">If asked about “Urbanization Projection”:  </w:t>
      </w:r>
      <w:r>
        <w:rPr>
          <w:color w:val="606060"/>
          <w:sz w:val="20"/>
        </w:rPr>
        <w:t>that's a separate technique — neural style transfer, not a VAE capability — that re-textures the same land toward a real developed tile's material pattern. It cannot invent new roads or buildings the layout doesn't already imply; that's a documented limitation of style transfer, not a bug.</w:t>
      </w:r>
    </w:p>
    <w:p>
      <w:pPr>
        <w:spacing w:after="240"/>
        <w:ind w:left="432"/>
      </w:pPr>
      <w:r>
        <w:rPr>
          <w:b/>
          <w:color w:val="2F7D5A"/>
          <w:sz w:val="18"/>
        </w:rPr>
        <w:t xml:space="preserve">VERIFIED   </w:t>
      </w:r>
      <w:r>
        <w:rPr>
          <w:rFonts w:ascii="Consolas" w:hAnsi="Consolas"/>
          <w:sz w:val="20"/>
        </w:rPr>
        <w:t>SSIM: 0.4267 • PSNR: 19.48dB • 105-tile held-out set, 21 classes • agricultural00.tif → Typical (z≈-1.3) • harbor00.tif → Unusual (z≈+2.5)</w:t>
      </w:r>
    </w:p>
    <w:p>
      <w:r>
        <w:br w:type="page"/>
      </w:r>
    </w:p>
    <w:p>
      <w:pPr>
        <w:pStyle w:val="Heading1"/>
      </w:pPr>
      <w:r>
        <w:rPr>
          <w:color w:val="2B5F8A"/>
        </w:rPr>
        <w:t xml:space="preserve">05  </w:t>
      </w:r>
      <w:r>
        <w:t>GAN — Conditional Synthetic Generation</w:t>
      </w:r>
      <w:r>
        <w:rPr>
          <w:b w:val="0"/>
          <w:i/>
          <w:color w:val="606060"/>
          <w:sz w:val="20"/>
        </w:rPr>
        <w:t xml:space="preserve">   (~1.5 min)</w:t>
      </w:r>
    </w:p>
    <w:p>
      <w:pPr>
        <w:spacing w:after="160"/>
        <w:ind w:left="432"/>
      </w:pPr>
      <w:r>
        <w:rPr>
          <w:b/>
          <w:color w:val="A83636"/>
          <w:sz w:val="18"/>
        </w:rPr>
        <w:t xml:space="preserve">DO   </w:t>
      </w:r>
      <w:r>
        <w:rPr>
          <w:color w:val="202020"/>
        </w:rPr>
        <w:t>Open the GAN Generator tab → generate the full 21-class grid</w:t>
      </w:r>
    </w:p>
    <w:p>
      <w:pPr>
        <w:spacing w:after="80"/>
        <w:ind w:left="432"/>
      </w:pPr>
      <w:r>
        <w:rPr>
          <w:b/>
          <w:color w:val="2B5F8A"/>
          <w:sz w:val="18"/>
        </w:rPr>
        <w:t xml:space="preserve">SAY  </w:t>
      </w:r>
    </w:p>
    <w:p>
      <w:pPr>
        <w:spacing w:after="160"/>
        <w:ind w:left="432"/>
      </w:pPr>
      <w:r>
        <w:rPr>
          <w:i/>
        </w:rPr>
        <w:t>“A class-conditional DCGAN, trained from scratch for 100 epochs on the same 2,100-tile dataset — it generates a synthetic tile for any of the 21 classes from random noise plus a class label, generator and discriminator trained adversarially with label smoothing and an EMA-averaged generator for stability.”</w:t>
      </w:r>
    </w:p>
    <w:p>
      <w:pPr>
        <w:spacing w:after="80"/>
        <w:ind w:left="432"/>
      </w:pPr>
      <w:r>
        <w:rPr>
          <w:b/>
          <w:color w:val="2B5F8A"/>
          <w:sz w:val="18"/>
        </w:rPr>
        <w:t xml:space="preserve">SAY — HONEST LIMITATION, OWN IT BEFORE THEY ASK  </w:t>
      </w:r>
    </w:p>
    <w:p>
      <w:pPr>
        <w:spacing w:after="160"/>
        <w:ind w:left="432"/>
      </w:pPr>
      <w:r>
        <w:rPr>
          <w:i/>
        </w:rPr>
        <w:t>“At 100 epochs on this dataset size, texture-distinctive classes like harbor already show real structure — you can see water and dock shapes. Classes that need precise repeated geometry, like a residential grid or an intersection, are still color-and-texture fields rather than crisp layouts. That's an expected property of GAN training at this scale, not a failure — GANs typically need far more epochs or data to learn geometric structure than to learn texture statistics.”</w:t>
      </w:r>
    </w:p>
    <w:p>
      <w:pPr>
        <w:spacing w:after="240"/>
        <w:ind w:left="432"/>
      </w:pPr>
      <w:r>
        <w:rPr>
          <w:b/>
          <w:color w:val="2F7D5A"/>
          <w:sz w:val="18"/>
        </w:rPr>
        <w:t xml:space="preserve">VERIFIED   </w:t>
      </w:r>
      <w:r>
        <w:rPr>
          <w:rFonts w:ascii="Consolas" w:hAnsi="Consolas"/>
          <w:sz w:val="20"/>
        </w:rPr>
        <w:t>adversarial loss (BCE, label smoothing 0.9/0.1) • epoch 100: D=0.47 G=1.67 • geometric classes: texture-only at 100ep</w:t>
      </w:r>
    </w:p>
    <w:p>
      <w:pPr>
        <w:pStyle w:val="Heading1"/>
      </w:pPr>
      <w:r>
        <w:rPr>
          <w:color w:val="2B5F8A"/>
        </w:rPr>
        <w:t xml:space="preserve">06  </w:t>
      </w:r>
      <w:r>
        <w:t>Transformer — MiniGPT Plan Generator</w:t>
      </w:r>
      <w:r>
        <w:rPr>
          <w:b w:val="0"/>
          <w:i/>
          <w:color w:val="606060"/>
          <w:sz w:val="20"/>
        </w:rPr>
        <w:t xml:space="preserve">   (~1.5 min)</w:t>
      </w:r>
    </w:p>
    <w:p>
      <w:pPr>
        <w:spacing w:after="160"/>
        <w:ind w:left="432"/>
      </w:pPr>
      <w:r>
        <w:rPr>
          <w:b/>
          <w:color w:val="A83636"/>
          <w:sz w:val="18"/>
        </w:rPr>
        <w:t xml:space="preserve">DO   </w:t>
      </w:r>
      <w:r>
        <w:rPr>
          <w:color w:val="202020"/>
        </w:rPr>
        <w:t>Open Urban Plan Generator → pick a preset → Generate</w:t>
      </w:r>
    </w:p>
    <w:p>
      <w:pPr>
        <w:spacing w:after="80"/>
        <w:ind w:left="432"/>
      </w:pPr>
      <w:r>
        <w:rPr>
          <w:b/>
          <w:color w:val="2B5F8A"/>
          <w:sz w:val="18"/>
        </w:rPr>
        <w:t xml:space="preserve">SAY  </w:t>
      </w:r>
    </w:p>
    <w:p>
      <w:pPr>
        <w:spacing w:after="160"/>
        <w:ind w:left="432"/>
      </w:pPr>
      <w:r>
        <w:rPr>
          <w:i/>
        </w:rPr>
        <w:t>“This satisfies the transformer requirement: a decoder-only transformer built from scratch — causal multi-head self-attention plus positional encoding — trained character-level on a hand-authored sustainable-urban-planning corpus. We prompt it with real statistics for a Pune ward — built-up percentage, green cover, road network, drainage — and it drafts a contextual planning recommendation.”</w:t>
      </w:r>
    </w:p>
    <w:p>
      <w:pPr>
        <w:spacing w:after="160"/>
        <w:ind w:left="432"/>
      </w:pPr>
      <w:r>
        <w:rPr>
          <w:i/>
        </w:rPr>
        <w:t>“To be precise about naming: the separate Land-Use Classifier is a ResNet18 CNN, not a transformer. We label it honestly rather than calling a CNN a transformer to tick a box.”</w:t>
      </w:r>
    </w:p>
    <w:p>
      <w:pPr>
        <w:pStyle w:val="Heading1"/>
      </w:pPr>
      <w:r>
        <w:rPr>
          <w:color w:val="2B5F8A"/>
        </w:rPr>
        <w:t xml:space="preserve">07  </w:t>
      </w:r>
      <w:r>
        <w:t>System Architecture — How It Connects</w:t>
      </w:r>
      <w:r>
        <w:rPr>
          <w:b w:val="0"/>
          <w:i/>
          <w:color w:val="606060"/>
          <w:sz w:val="20"/>
        </w:rPr>
        <w:t xml:space="preserve">   (~40s)</w:t>
      </w:r>
    </w:p>
    <w:p>
      <w:pPr>
        <w:spacing w:after="120"/>
        <w:ind w:left="432"/>
      </w:pPr>
      <w:r>
        <w:rPr>
          <w:b/>
          <w:color w:val="9A6A1F"/>
          <w:sz w:val="18"/>
        </w:rPr>
        <w:t>Rubric 3 · 10 marks</w:t>
      </w:r>
    </w:p>
    <w:p>
      <w:pPr>
        <w:spacing w:after="80"/>
        <w:ind w:left="432"/>
      </w:pPr>
      <w:r>
        <w:rPr>
          <w:b/>
          <w:color w:val="2B5F8A"/>
          <w:sz w:val="18"/>
        </w:rPr>
        <w:t xml:space="preserve">SAY  </w:t>
      </w:r>
    </w:p>
    <w:p>
      <w:pPr>
        <w:spacing w:after="160"/>
        <w:ind w:left="432"/>
      </w:pPr>
      <w:r>
        <w:rPr>
          <w:i/>
        </w:rPr>
        <w:t>“Put together: the Classifier labels a parcel. The VAE checks whether that parcel's pattern is trustworthy or worth flagging. The GAN generates synthetic examples of any class for augmentation or scenario exploration. The Transformer turns verified, classified data into an actual written planning recommendation grounded in real statistics. That's one coherent decision-support pipeline — Classifier, then VAE, then Transformer, with the GAN feeding data augmentation — not four unrelated demos bolted together.”</w:t>
      </w:r>
    </w:p>
    <w:p>
      <w:pPr>
        <w:pStyle w:val="Heading1"/>
      </w:pPr>
      <w:r>
        <w:rPr>
          <w:color w:val="2B5F8A"/>
        </w:rPr>
        <w:t xml:space="preserve">08  </w:t>
      </w:r>
      <w:r>
        <w:t>Ethics, Privacy &amp; Limitations</w:t>
      </w:r>
      <w:r>
        <w:rPr>
          <w:b w:val="0"/>
          <w:i/>
          <w:color w:val="606060"/>
          <w:sz w:val="20"/>
        </w:rPr>
        <w:t xml:space="preserve">   (~1 min)</w:t>
      </w:r>
    </w:p>
    <w:p>
      <w:pPr>
        <w:spacing w:after="160"/>
        <w:ind w:left="432"/>
      </w:pPr>
      <w:r>
        <w:rPr>
          <w:b/>
          <w:color w:val="A83636"/>
          <w:sz w:val="18"/>
        </w:rPr>
        <w:t xml:space="preserve">DO   </w:t>
      </w:r>
      <w:r>
        <w:rPr>
          <w:color w:val="202020"/>
        </w:rPr>
        <w:t>Open the Governance tab</w:t>
      </w:r>
    </w:p>
    <w:p>
      <w:pPr>
        <w:spacing w:after="80"/>
        <w:ind w:left="432"/>
      </w:pPr>
      <w:r>
        <w:rPr>
          <w:b/>
          <w:color w:val="2B5F8A"/>
          <w:sz w:val="18"/>
        </w:rPr>
        <w:t xml:space="preserve">SAY  </w:t>
      </w:r>
    </w:p>
    <w:p>
      <w:pPr>
        <w:spacing w:after="160"/>
        <w:ind w:left="432"/>
      </w:pPr>
      <w:r>
        <w:rPr>
          <w:i/>
        </w:rPr>
        <w:t>“Uploaded images are read directly into memory and never written to disk — no personal data is requested or stored. CORS is restricted and every inference endpoint is rate-limited. Our documentation covers GDPR, India's DPDP Act, and the EU AI Act, plus an honest model card: we explicitly document that the VAE's 8-by-8 latent bottleneck limits fidelity, and that our GAN hasn't yet learned crisp geometry for grid-like classes at 100 epochs. We treat limitations as findings to report, not gaps to hide.”</w:t>
      </w:r>
    </w:p>
    <w:p>
      <w:pPr>
        <w:pStyle w:val="Heading1"/>
      </w:pPr>
      <w:r>
        <w:rPr>
          <w:color w:val="2B5F8A"/>
        </w:rPr>
        <w:t xml:space="preserve">09  </w:t>
      </w:r>
      <w:r>
        <w:t>Closing</w:t>
      </w:r>
      <w:r>
        <w:rPr>
          <w:b w:val="0"/>
          <w:i/>
          <w:color w:val="606060"/>
          <w:sz w:val="20"/>
        </w:rPr>
        <w:t xml:space="preserve">   (~20s)</w:t>
      </w:r>
    </w:p>
    <w:p>
      <w:pPr>
        <w:spacing w:after="80"/>
        <w:ind w:left="432"/>
      </w:pPr>
      <w:r>
        <w:rPr>
          <w:b/>
          <w:color w:val="2B5F8A"/>
          <w:sz w:val="18"/>
        </w:rPr>
        <w:t xml:space="preserve">SAY  </w:t>
      </w:r>
    </w:p>
    <w:p>
      <w:pPr>
        <w:spacing w:after="160"/>
        <w:ind w:left="432"/>
      </w:pPr>
      <w:r>
        <w:rPr>
          <w:i/>
        </w:rPr>
        <w:t>“To summarize: four models, each doing a distinct, justified job, connected into one pipeline, trained and verified by us end-to-end on real data — with every limitation we found documented and explained rather than hidden. That's UrbanGenAI.”</w:t>
      </w:r>
    </w:p>
    <w:p>
      <w:r>
        <w:br w:type="page"/>
      </w:r>
    </w:p>
    <w:p>
      <w:pPr>
        <w:pStyle w:val="Heading1"/>
      </w:pPr>
      <w:r>
        <w:rPr>
          <w:color w:val="2B5F8A"/>
        </w:rPr>
        <w:t xml:space="preserve">10  </w:t>
      </w:r>
      <w:r>
        <w:t>Anticipated Questions</w:t>
      </w:r>
      <w:r>
        <w:rPr>
          <w:b w:val="0"/>
          <w:i/>
          <w:color w:val="606060"/>
          <w:sz w:val="20"/>
        </w:rPr>
        <w:t xml:space="preserve">   (reference)</w:t>
      </w:r>
    </w:p>
    <w:p>
      <w:pPr>
        <w:spacing w:before="200" w:after="40"/>
      </w:pPr>
      <w:r>
        <w:rPr>
          <w:b/>
          <w:color w:val="2B5F8A"/>
        </w:rPr>
        <w:t>Q:  Did you train these yourselves, or download pretrained models?</w:t>
      </w:r>
    </w:p>
    <w:p>
      <w:pPr>
        <w:ind w:left="432"/>
      </w:pPr>
      <w:r>
        <w:rPr>
          <w:i/>
        </w:rPr>
        <w:t>A:  “We trained the full system on UCMerced ourselves. The ResNet18 encoders start from ImageNet-pretrained weights via transfer learning — standard practice — but are fine-tuned on our data. Every decoder, latent head, the GAN, and the transformer are trained entirely from scratch by us.”</w:t>
      </w:r>
    </w:p>
    <w:p>
      <w:pPr>
        <w:spacing w:before="200" w:after="40"/>
      </w:pPr>
      <w:r>
        <w:rPr>
          <w:b/>
          <w:color w:val="2B5F8A"/>
        </w:rPr>
        <w:t>Q:  Why is the VAE reconstruction blurry?</w:t>
      </w:r>
    </w:p>
    <w:p>
      <w:pPr>
        <w:ind w:left="432"/>
      </w:pPr>
      <w:r>
        <w:rPr>
          <w:i/>
        </w:rPr>
        <w:t>A:  “The 8-by-8 spatial bottleneck genuinely trades fidelity for a regular latent space — measured at SSIM 0.4267, PSNR 19.48 dB on a 105-tile held-out set. We tried the literature-standard fix, a VGG perceptual loss, retrained, and used our own evaluation metric to check it — it measurably regressed quality, SSIM 0.427 down to 0.379 — so we correctly rejected it instead of shipping a model that merely looked sharper.”</w:t>
      </w:r>
    </w:p>
    <w:p>
      <w:pPr>
        <w:spacing w:before="200" w:after="40"/>
      </w:pPr>
      <w:r>
        <w:rPr>
          <w:b/>
          <w:color w:val="2B5F8A"/>
        </w:rPr>
        <w:t>Q:  What's the actual use of the VAE in this project?</w:t>
      </w:r>
    </w:p>
    <w:p>
      <w:pPr>
        <w:ind w:left="432"/>
      </w:pPr>
      <w:r>
        <w:rPr>
          <w:i/>
        </w:rPr>
        <w:t>A:  “Anomaly detection. It was trained only to reconstruct normal land use; a parcel it reconstructs unusually badly is, by construction, one that doesn't match the patterns it learned — a free, unsupervised triage signal a classifier can't produce.”</w:t>
      </w:r>
    </w:p>
    <w:p>
      <w:pPr>
        <w:spacing w:before="200" w:after="40"/>
      </w:pPr>
      <w:r>
        <w:rPr>
          <w:b/>
          <w:color w:val="2B5F8A"/>
        </w:rPr>
        <w:t>Q:  Why doesn't “Urbanization Projection” show new buildings or roads?</w:t>
      </w:r>
    </w:p>
    <w:p>
      <w:pPr>
        <w:ind w:left="432"/>
      </w:pPr>
      <w:r>
        <w:rPr>
          <w:i/>
        </w:rPr>
        <w:t>A:  “It's neural style transfer, which re-textures existing edges — it cannot invent geometry that isn't already implied by the input layout. That's an explicit, documented limitation of the technique, not a bug in our implementation.”</w:t>
      </w:r>
    </w:p>
    <w:p>
      <w:pPr>
        <w:spacing w:before="200" w:after="40"/>
      </w:pPr>
      <w:r>
        <w:rPr>
          <w:b/>
          <w:color w:val="2B5F8A"/>
        </w:rPr>
        <w:t>Q:  How good is the GAN, really?</w:t>
      </w:r>
    </w:p>
    <w:p>
      <w:pPr>
        <w:ind w:left="432"/>
      </w:pPr>
      <w:r>
        <w:rPr>
          <w:i/>
        </w:rPr>
        <w:t>A:  “Genuinely good for texture-distinctive classes like harbor at 100 epochs; classes needing crisp repeated geometry — residential grids, intersections — are still texture fields. We report that honestly rather than cherry-picking only the good outputs.”</w:t>
      </w:r>
    </w:p>
    <w:p/>
    <w:p>
      <w:pPr>
        <w:jc w:val="center"/>
      </w:pPr>
      <w:r>
        <w:rPr>
          <w:i/>
          <w:color w:val="606060"/>
          <w:sz w:val="18"/>
        </w:rPr>
        <w:t>UCMerced Land Use · 2,100 tiles · 21 classes · one pipeline, four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A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A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