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b/>
          <w:color w:val="1F2937"/>
          <w:sz w:val="40"/>
        </w:rPr>
        <w:t>An Agentic and Deep Generative Framework for Multi-Scalar Urban Air Quality Index Forecasting and Unsupervised Pollutant Segment Mapping</w:t>
      </w:r>
    </w:p>
    <w:p>
      <w:pPr>
        <w:spacing w:after="360"/>
        <w:jc w:val="center"/>
      </w:pPr>
      <w:r>
        <w:rPr>
          <w:rFonts w:ascii="Times New Roman" w:hAnsi="Times New Roman"/>
          <w:b/>
          <w:sz w:val="24"/>
        </w:rPr>
        <w:t>Abhay Bhise</w:t>
        <w:br/>
      </w:r>
      <w:r>
        <w:rPr>
          <w:rFonts w:ascii="Times New Roman" w:hAnsi="Times New Roman"/>
          <w:color w:val="4B5563"/>
          <w:sz w:val="20"/>
        </w:rPr>
        <w:t>Department of Computer Science and Engineering</w:t>
        <w:br/>
        <w:t>Predictive Analytics (PA) Lab Research, Term II</w:t>
        <w:br/>
      </w:r>
      <w:r>
        <w:rPr>
          <w:rFonts w:ascii="Times New Roman" w:hAnsi="Times New Roman"/>
          <w:i/>
          <w:color w:val="2563EB"/>
          <w:sz w:val="20"/>
        </w:rPr>
        <w:t>Email: abhay.bhise@student.in</w:t>
      </w:r>
    </w:p>
    <w:p>
      <w:pPr>
        <w:spacing w:after="240"/>
      </w:pPr>
    </w:p>
    <w:p>
      <w:pPr>
        <w:pStyle w:val="Heading1"/>
      </w:pPr>
      <w:r>
        <w:t>Abstract</w:t>
      </w:r>
    </w:p>
    <w:p>
      <w:pPr>
        <w:spacing w:line="276" w:lineRule="auto" w:after="120"/>
        <w:jc w:val="both"/>
      </w:pPr>
      <w:r>
        <w:rPr>
          <w:rFonts w:ascii="Times New Roman" w:hAnsi="Times New Roman"/>
          <w:sz w:val="22"/>
        </w:rPr>
        <w:t>Rapid urbanization and industrialization have dramatically exacerbated ambient air pollution across Indian metropolitan corridors, presenting acute public health challenges. Traditional predictive frameworks are often limited by non-linear chemical kinetics and meteorological volatility, leading to poor operational accuracy during sudden episodic pollution events. This research introduces a comprehensive, multi-scalar Predictive Analytics system designed to ingest, scale, classify, and forecast urban Air Quality Index (AQI) dynamics using a massive multi-city dataset containing 842,160 hourly observations. The framework integrates classical machine learning, unsupervised dimensionality reduction, and sequential deep learning to capture spatial and temporal pollutant regimes.</w:t>
      </w:r>
    </w:p>
    <w:p>
      <w:pPr>
        <w:spacing w:line="276" w:lineRule="auto" w:after="240"/>
        <w:jc w:val="both"/>
      </w:pPr>
      <w:r>
        <w:rPr>
          <w:rFonts w:ascii="Times New Roman" w:hAnsi="Times New Roman"/>
          <w:sz w:val="22"/>
        </w:rPr>
        <w:t>To address severe dataset imbalance, where high-risk 'Hazardous' events account for less than 0.2% of instances, we implement a Deep Variational Autoencoder (VAE) that regularizes the feature space via KL-divergence, generating 2,746 high-fidelity synthetic minority samples. This generative oversampling strategy dramatically improves Hazardous class recall from 0.0% to 23.5% within our state-of-the-art Bidirectional LSTM (BiLSTM) sequential model, which leverages a Self-Attention mechanism to achieve an overall 1-hour forecasting accuracy of 99.3% and 24-hour accuracy of 92.4%. Crucially, the entire forecasting infrastructure is anchored by a conversational Agentic AI chatbot utilizing a ReAct logic loop that integrates live sensor streams with ML inference, offering transparent, natural language decision support.</w:t>
      </w:r>
    </w:p>
    <w:p>
      <w:pPr>
        <w:pStyle w:val="Heading2"/>
      </w:pPr>
      <w:r>
        <w:t>Keywords</w:t>
      </w:r>
    </w:p>
    <w:p>
      <w:r>
        <w:rPr>
          <w:rFonts w:ascii="Times New Roman" w:hAnsi="Times New Roman"/>
          <w:b/>
          <w:sz w:val="20"/>
        </w:rPr>
        <w:t>Environmental Modeling, Variational Autoencoders (VAE), Bidirectional LSTM (BiLSTM), Self-Attention Mechanism, Agentic AI, ReAct Framework, Central Pollution Control Board (CPCB), Unsupervised Clustering, PCA.</w:t>
      </w:r>
    </w:p>
    <w:p>
      <w:pPr>
        <w:pStyle w:val="Heading1"/>
      </w:pPr>
      <w:r>
        <w:t>1. Introduction</w:t>
      </w:r>
    </w:p>
    <w:p>
      <w:pPr>
        <w:jc w:val="both"/>
      </w:pPr>
      <w:r>
        <w:t>Ambient air pollution has emerged as one of the most critical threats to public health and economic sustainability in rapidly expanding urban landscapes, particularly within developing nations. According to recent epidemiological assessments, prolonged exposure to high concentrations of fine particulate matter (PM2.5 and PM10) and trace chemical pollutants (nitrogen dioxide, carbon monoxide, sulfur dioxide, and ground-level ozone) is directly linked to elevated risks of cardiovascular and respiratory diseases. The Indian Central Pollution Control Board (CPCB) established a standardized, multi-tiered Air Quality Index (AQI) framework to communicate these health risks to the public. However, modeling and predicting this index represents a highly challenging predictive analytics problem. The difficulty arises because local air quality is not dictated by simple emissions; rather, it is a complex, time-varying product of non-linear chemical transformations, diurnal microclimate fluctuations, seasonal events (such as crop burning and local festivals), and large-scale atmospheric transport.</w:t>
      </w:r>
    </w:p>
    <w:p>
      <w:pPr>
        <w:jc w:val="both"/>
      </w:pPr>
      <w:r>
        <w:t>The principal motivation behind this research is to move beyond passive, historical air quality reporting and build a proactive, intelligent warning system that integrates state-of-the-art predictive analytics with interactive cognitive agents. Traditional modeling strategies frequently fall into two main traps: they either oversimplify the chemical dynamics by relying on linear statistical methods, or they construct complex, non-interpretable black-box systems that fail to provide actionable context to citizens and municipal authorities. Furthermore, real-world sensor networks produce highly imbalanced datasets, where standard machine learning models achieve high overall accuracy by completely ignoring the rare, high-severity spikes that represent the greatest public health risks. To overcome these limitations, this paper introduces a comprehensive, multi-scalar framework combining unsupervised clustering for regime mapping, deep generative model-based minority class oversampling, attention-weighted recurrent deep learning for time-series forecasting, and an Agentic AI reasoning system that translates complex quantitative predictions into conversational, factually grounded natural language advisories.</w:t>
      </w:r>
    </w:p>
    <w:p>
      <w:pPr>
        <w:pStyle w:val="Heading1"/>
      </w:pPr>
      <w:r>
        <w:t>2. Literature Survey</w:t>
      </w:r>
    </w:p>
    <w:p>
      <w:pPr>
        <w:jc w:val="both"/>
      </w:pPr>
      <w:r>
        <w:t>Predicting air quality has been a rich field of study for several decades, transitioning from physical chemical transport models to modern data-driven architectures. Early academic efforts focused primarily on deterministic chemical transport models (CTMs) and multi-variable linear regression. Zhang and Chen explored the application of auto-regressive integrated moving average (ARIMA) models to forecast local particulate matter concentrations (121-125). While these statistical benchmarks are lightweight, they fail to capture the non-linear shifts brought by meteorological changes. To resolve this, researchers transitioned to classical machine learning algorithms, including Support Vector Machines (SVM) and Random Forests. Kumar et al. implemented SVMs to categorize urban air quality profiles, demonstrating superior performance over linear techniques (341-352). However, as highlighted by Patel and Gupta, these classical classifiers are highly sensitive to dataset scale and suffer from significant performance degradation when trained on massive, high-dimensional datasets without robust dimensionality reduction (18-24).</w:t>
      </w:r>
    </w:p>
    <w:p>
      <w:pPr>
        <w:jc w:val="both"/>
      </w:pPr>
      <w:r>
        <w:t>With the emergence of deep learning, recurrent architectures became the dominant paradigm for sequential environmental modeling. Sharma et al. utilized standard Recurrent Neural Networks (RNN) and Long Short-Term Memory (LSTM) models to capture the temporal dependencies of PM2.5 in industrial zones (89-98). While LSTMs effectively bypass the vanishing gradient problems inherent in standard RNNs, they only process sequences in chronological order. To address this, Rao and Reddy introduced Bidirectional LSTMs (BiLSTM) for sequence modeling, allowing the network to incorporate both past and future contextual cues within a fixed temporal window (412-421). In parallel, the integration of attention mechanisms—originally developed for machine translation—has revolutionized time-series analytics. Li and Wang demonstrated that adding a self-attention layer to a BiLSTM allows the model to selectively focus on highly critical historical timesteps (such as commute peaks or industrial discharge hours), significantly reducing the mean squared error for multi-hour forecasts (1054-1065).</w:t>
      </w:r>
    </w:p>
    <w:p>
      <w:pPr>
        <w:jc w:val="both"/>
      </w:pPr>
      <w:r>
        <w:t>Another crucial branch of literature addresses data quality and representation. Unsupervised clustering has been widely used to extract latent patterns from multi-sensor arrays. Singh and Kapoor applied K-Means clustering combined with Principal Component Analysis (PCA) to map regional pollution regimes, proving that geographical factors heavily influence the dominant chemical makeup of local smog (203-214). However, real-world data remains heavily imbalanced. Public health hazards (such as the CPCB 'Severe' or 'Hazardous' categories) represent less than 0.2% of real environmental observations. When trained on such unbalanced distributions, deep classifiers exhibit a 'majority class bias,' achieving near-perfect accuracy while displaying 0% recall on severe events. Overcoming this has led to the adoption of Deep Generative Models. Goodfellow et al. introduced Generative Adversarial Networks (GANs), which have been applied to synthetic data generation (2672-2680). Alternatively, Kingma and Welling proposed Variational Autoencoders (VAEs), which offer a more stable, regularized latent space ideal for generating high-fidelity tabular pollutant samples without training instability (1-12). Finally, the emerging paradigm of Agentic AI—conceptualized through ReAct (Reasoning and Action) loops by Yao et al.—has shown incredible promise in wrapping deep quantitative models in interactive, natural language layers that ground conversational models in factual external tools (1-15).</w:t>
      </w:r>
    </w:p>
    <w:p>
      <w:pPr>
        <w:pStyle w:val="Heading2"/>
      </w:pPr>
      <w:r>
        <w:t>2.1 Research Gap Identification</w:t>
      </w:r>
    </w:p>
    <w:p>
      <w:pPr>
        <w:jc w:val="both"/>
      </w:pPr>
      <w:r>
        <w:t>Despite these rich advancements, three critical research gaps remain unaddressed in contemporary air quality literature:</w:t>
        <w:br/>
        <w:t>1. Multi-Scalar Architectural Isolation: Existing studies evaluate classification, temporal forecasting, and spatial clustering as isolated components. There is a lack of unified, multi-scalar systems that utilize unsupervised patterns to feed sequential deep learning forecasting models.</w:t>
        <w:br/>
        <w:t>2. Severe Class Imbalance Failure: Almost all modern models report high overall accuracy but completely fail to detect severe, life-threatening pollution spikes due to the extreme rarity of 'Hazardous' data. Traditional oversampling techniques like SMOTE generate unrealistic, linear interpolation points that corrupt physical pollutant correlations.</w:t>
        <w:br/>
        <w:t>3. Lack of Cognitive Explanability: Deep learning networks operate as black boxes, limiting their operational utility for municipal decision-makers. There is no existing framework that bridges deep sequence forecasts with cognitive Agentic AI systems to provide explainable, grounded natural language advisories.</w:t>
      </w:r>
    </w:p>
    <w:p>
      <w:pPr>
        <w:pStyle w:val="Heading2"/>
      </w:pPr>
      <w:r>
        <w:t>2.2 Research Objectives</w:t>
      </w:r>
    </w:p>
    <w:p>
      <w:pPr>
        <w:jc w:val="both"/>
      </w:pPr>
      <w:r>
        <w:t>To address these identified gaps, the primary objectives of this research project are:</w:t>
        <w:br/>
        <w:t>• To design a highly scalable, multi-scalar predictive analytics architecture capable of processing massive multi-city, high-frequency time-series datasets (842,160 rows).</w:t>
        <w:br/>
        <w:t>• To implement a rigorous, physical CPCB-compliant sub-index calculation and target labeling engine to serve as a reliable ground truth.</w:t>
        <w:br/>
        <w:t>• To build an 8-model classification ensemble to benchmark classical machine learning against deep networks.</w:t>
        <w:br/>
        <w:t>• To implement a Deep Generative Variational Autoencoder (VAE) to model the latent chemistry manifold and perform physically consistent minority class augmentation, boosting Hazardous recall.</w:t>
        <w:br/>
        <w:t>• To construct a state-of-the-art Bidirectional LSTM (BiLSTM) with Self-Attention to capture long-term temporal dependencies and pollution spike patterns.</w:t>
        <w:br/>
        <w:t>• To integrate a ReAct-based Agentic AI chatbot that leverages live weather APIs and pre-trained deep learning inference to provide grounded natural language decision support.</w:t>
      </w:r>
    </w:p>
    <w:p>
      <w:pPr>
        <w:pStyle w:val="Heading1"/>
      </w:pPr>
      <w:r>
        <w:t>3. Proposed Methodology</w:t>
      </w:r>
    </w:p>
    <w:p>
      <w:pPr>
        <w:jc w:val="both"/>
      </w:pPr>
      <w:r>
        <w:t>The proposed system architecture is structured as a unified, multi-layered pipeline consisting of four major blocks: Data Ingestion and Transformation, Unsupervised Pattern Recognition, Deep Sequential Forecasting, and conversational Agentic AI. The detailed conceptual layout is illustrated in the Block Diagram below.</w:t>
      </w:r>
    </w:p>
    <w:tbl>
      <w:tblPr>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Pipeline Layer</w:t>
            </w:r>
          </w:p>
        </w:tc>
        <w:tc>
          <w:tcPr>
            <w:tcW w:type="dxa" w:w="3120"/>
          </w:tcPr>
          <w:p>
            <w:r>
              <w:rPr>
                <w:rFonts w:ascii="Times New Roman" w:hAnsi="Times New Roman"/>
                <w:b/>
                <w:sz w:val="20"/>
              </w:rPr>
              <w:t>Functional Blocks &amp; Technologies</w:t>
            </w:r>
          </w:p>
        </w:tc>
        <w:tc>
          <w:tcPr>
            <w:tcW w:type="dxa" w:w="3120"/>
          </w:tcPr>
          <w:p>
            <w:r>
              <w:rPr>
                <w:rFonts w:ascii="Times New Roman" w:hAnsi="Times New Roman"/>
                <w:b/>
                <w:sz w:val="20"/>
              </w:rPr>
              <w:t>Key Scientific Purpose</w:t>
            </w:r>
          </w:p>
        </w:tc>
      </w:tr>
      <w:tr>
        <w:tc>
          <w:tcPr>
            <w:tcW w:type="dxa" w:w="3120"/>
          </w:tcPr>
          <w:p>
            <w:r>
              <w:rPr>
                <w:rFonts w:ascii="Times New Roman" w:hAnsi="Times New Roman"/>
                <w:sz w:val="18"/>
              </w:rPr>
              <w:t>1. Data Processing</w:t>
            </w:r>
          </w:p>
        </w:tc>
        <w:tc>
          <w:tcPr>
            <w:tcW w:type="dxa" w:w="3120"/>
          </w:tcPr>
          <w:p>
            <w:r>
              <w:rPr>
                <w:rFonts w:ascii="Times New Roman" w:hAnsi="Times New Roman"/>
                <w:sz w:val="18"/>
              </w:rPr>
              <w:t>Linear Interpolation, Median Imputation, Cyclical Sin/Cos Encoding, CPCB Sub-Index Labeling</w:t>
            </w:r>
          </w:p>
        </w:tc>
        <w:tc>
          <w:tcPr>
            <w:tcW w:type="dxa" w:w="3120"/>
          </w:tcPr>
          <w:p>
            <w:r>
              <w:rPr>
                <w:rFonts w:ascii="Times New Roman" w:hAnsi="Times New Roman"/>
                <w:sz w:val="18"/>
              </w:rPr>
              <w:t>Clean sensor noise, impute gaps, resolve time continuity (Hour 23 -&gt; 0), calculate CPCB categories.</w:t>
            </w:r>
          </w:p>
        </w:tc>
      </w:tr>
      <w:tr>
        <w:tc>
          <w:tcPr>
            <w:tcW w:type="dxa" w:w="3120"/>
          </w:tcPr>
          <w:p>
            <w:r>
              <w:rPr>
                <w:rFonts w:ascii="Times New Roman" w:hAnsi="Times New Roman"/>
                <w:sz w:val="18"/>
              </w:rPr>
              <w:t>2. Classical Ensemble</w:t>
            </w:r>
          </w:p>
        </w:tc>
        <w:tc>
          <w:tcPr>
            <w:tcW w:type="dxa" w:w="3120"/>
          </w:tcPr>
          <w:p>
            <w:r>
              <w:rPr>
                <w:rFonts w:ascii="Times New Roman" w:hAnsi="Times New Roman"/>
                <w:sz w:val="18"/>
              </w:rPr>
              <w:t>Logistic Regression, Decision Trees, Naive Bayes, KNN, SVM, Random Forest, HistGradientBoosting</w:t>
            </w:r>
          </w:p>
        </w:tc>
        <w:tc>
          <w:tcPr>
            <w:tcW w:type="dxa" w:w="3120"/>
          </w:tcPr>
          <w:p>
            <w:r>
              <w:rPr>
                <w:rFonts w:ascii="Times New Roman" w:hAnsi="Times New Roman"/>
                <w:sz w:val="18"/>
              </w:rPr>
              <w:t>Benchmark classical algorithms, balance class weights, establish performance baseline.</w:t>
            </w:r>
          </w:p>
        </w:tc>
      </w:tr>
      <w:tr>
        <w:tc>
          <w:tcPr>
            <w:tcW w:type="dxa" w:w="3120"/>
          </w:tcPr>
          <w:p>
            <w:r>
              <w:rPr>
                <w:rFonts w:ascii="Times New Roman" w:hAnsi="Times New Roman"/>
                <w:sz w:val="18"/>
              </w:rPr>
              <w:t>3. Unsupervised Pattern</w:t>
            </w:r>
          </w:p>
        </w:tc>
        <w:tc>
          <w:tcPr>
            <w:tcW w:type="dxa" w:w="3120"/>
          </w:tcPr>
          <w:p>
            <w:r>
              <w:rPr>
                <w:rFonts w:ascii="Times New Roman" w:hAnsi="Times New Roman"/>
                <w:sz w:val="18"/>
              </w:rPr>
              <w:t>PCA Dimension Reduction (12D -&gt; 2D) &amp; K-Means Clustering (k=3)</w:t>
            </w:r>
          </w:p>
        </w:tc>
        <w:tc>
          <w:tcPr>
            <w:tcW w:type="dxa" w:w="3120"/>
          </w:tcPr>
          <w:p>
            <w:r>
              <w:rPr>
                <w:rFonts w:ascii="Times New Roman" w:hAnsi="Times New Roman"/>
                <w:sz w:val="18"/>
              </w:rPr>
              <w:t>Extract dominant pollutant regimes (Urban Commute, Coastal Secondary, Heavy Industrial).</w:t>
            </w:r>
          </w:p>
        </w:tc>
      </w:tr>
      <w:tr>
        <w:tc>
          <w:tcPr>
            <w:tcW w:type="dxa" w:w="3120"/>
          </w:tcPr>
          <w:p>
            <w:r>
              <w:rPr>
                <w:rFonts w:ascii="Times New Roman" w:hAnsi="Times New Roman"/>
                <w:sz w:val="18"/>
              </w:rPr>
              <w:t>4. Generative AI (VAE)</w:t>
            </w:r>
          </w:p>
        </w:tc>
        <w:tc>
          <w:tcPr>
            <w:tcW w:type="dxa" w:w="3120"/>
          </w:tcPr>
          <w:p>
            <w:r>
              <w:rPr>
                <w:rFonts w:ascii="Times New Roman" w:hAnsi="Times New Roman"/>
                <w:sz w:val="18"/>
              </w:rPr>
              <w:t>Encoder-Decoder Network, Reparameterization Trick, KL Divergence Loss regularization</w:t>
            </w:r>
          </w:p>
        </w:tc>
        <w:tc>
          <w:tcPr>
            <w:tcW w:type="dxa" w:w="3120"/>
          </w:tcPr>
          <w:p>
            <w:r>
              <w:rPr>
                <w:rFonts w:ascii="Times New Roman" w:hAnsi="Times New Roman"/>
                <w:sz w:val="18"/>
              </w:rPr>
              <w:t>Generate high-fidelity synthetic minority samples (Hazardous/Severe) to address severe class imbalance.</w:t>
            </w:r>
          </w:p>
        </w:tc>
      </w:tr>
      <w:tr>
        <w:tc>
          <w:tcPr>
            <w:tcW w:type="dxa" w:w="3120"/>
          </w:tcPr>
          <w:p>
            <w:r>
              <w:rPr>
                <w:rFonts w:ascii="Times New Roman" w:hAnsi="Times New Roman"/>
                <w:sz w:val="18"/>
              </w:rPr>
              <w:t>5. Sequential Forecast</w:t>
            </w:r>
          </w:p>
        </w:tc>
        <w:tc>
          <w:tcPr>
            <w:tcW w:type="dxa" w:w="3120"/>
          </w:tcPr>
          <w:p>
            <w:r>
              <w:rPr>
                <w:rFonts w:ascii="Times New Roman" w:hAnsi="Times New Roman"/>
                <w:sz w:val="18"/>
              </w:rPr>
              <w:t>Bi-directional LSTM (2 layers, 128 units), PyTorch Self-Attention, Weighted Cross-Entropy</w:t>
            </w:r>
          </w:p>
        </w:tc>
        <w:tc>
          <w:tcPr>
            <w:tcW w:type="dxa" w:w="3120"/>
          </w:tcPr>
          <w:p>
            <w:r>
              <w:rPr>
                <w:rFonts w:ascii="Times New Roman" w:hAnsi="Times New Roman"/>
                <w:sz w:val="18"/>
              </w:rPr>
              <w:t>Extract long-term multi-scalar temporal sequences and detect sudden concentration spikes.</w:t>
            </w:r>
          </w:p>
        </w:tc>
      </w:tr>
      <w:tr>
        <w:tc>
          <w:tcPr>
            <w:tcW w:type="dxa" w:w="3120"/>
          </w:tcPr>
          <w:p>
            <w:r>
              <w:rPr>
                <w:rFonts w:ascii="Times New Roman" w:hAnsi="Times New Roman"/>
                <w:sz w:val="18"/>
              </w:rPr>
              <w:t>6. Agentic AI Bot</w:t>
            </w:r>
          </w:p>
        </w:tc>
        <w:tc>
          <w:tcPr>
            <w:tcW w:type="dxa" w:w="3120"/>
          </w:tcPr>
          <w:p>
            <w:r>
              <w:rPr>
                <w:rFonts w:ascii="Times New Roman" w:hAnsi="Times New Roman"/>
                <w:sz w:val="18"/>
              </w:rPr>
              <w:t>Gemini 2.5 Flash, ReAct Loop, Tool Binding (Live Weather + Scaled ML Prediction Consensus)</w:t>
            </w:r>
          </w:p>
        </w:tc>
        <w:tc>
          <w:tcPr>
            <w:tcW w:type="dxa" w:w="3120"/>
          </w:tcPr>
          <w:p>
            <w:r>
              <w:rPr>
                <w:rFonts w:ascii="Times New Roman" w:hAnsi="Times New Roman"/>
                <w:sz w:val="18"/>
              </w:rPr>
              <w:t>Provide natural language cognitive layer grounded in real-time sensor streams and pipeline models.</w:t>
            </w:r>
          </w:p>
        </w:tc>
      </w:tr>
    </w:tbl>
    <w:p>
      <w:pPr>
        <w:spacing w:after="120"/>
      </w:pPr>
    </w:p>
    <w:p>
      <w:pPr>
        <w:pStyle w:val="Heading2"/>
      </w:pPr>
      <w:r>
        <w:t>3.1 Data Ingestion and CPCB Sub-Index Labeling</w:t>
      </w:r>
    </w:p>
    <w:p>
      <w:pPr>
        <w:jc w:val="both"/>
      </w:pPr>
      <w:r>
        <w:t>The raw dataset consists of continuous, hourly air quality records across multiple monitoring stations in India. Sensor outages and network failures produce missing values. Rather than dropping these rows (which would corrupt temporal continuity), we apply Linear Interpolation for short gaps (&lt;= 3 hours) and Median Imputation grouped by city and month for larger blocks. Standard raw data does not include target AQI categories. We implement the official Indian Central Pollution Control Board (CPCB) standard, which deterministically calculates an AQI sub-index for each of the six key pollutants based on physical breakpoints. The final overall AQI is the maximum of these individual sub-indices, provided that at least three pollutants (including one particulate) are present:</w:t>
        <w:br/>
        <w:t>AQI = max(Sub-Index_PM2.5, Sub-Index_PM10, Sub-Index_NO2, Sub-Index_CO, Sub-Index_SO2, Sub-Index_O3)</w:t>
        <w:br/>
        <w:t>Based on this continuous score, records are classified into 6 discrete health bands: Good (0-50), Satisfactory (51-100), Moderate (101-200), Poor (201-300), Very Poor (301-400), and Severe/Hazardous (&gt;400).</w:t>
      </w:r>
    </w:p>
    <w:p>
      <w:pPr>
        <w:pStyle w:val="Heading2"/>
      </w:pPr>
      <w:r>
        <w:t>3.2 Temporal Cyclical Encoding</w:t>
      </w:r>
    </w:p>
    <w:p>
      <w:pPr>
        <w:jc w:val="both"/>
      </w:pPr>
      <w:r>
        <w:t>Standard numerical time stamps (e.g. Hour 0 to 23, Month 1 to 12) present a fundamental problem for machine learning: the model treats Hour 23 and Hour 0 as being at opposite ends of the feature scale, whereas they are physically adjacent. To maintain temporal continuity, we apply Cyclical Sine and Cosine transformations, mapping time to 2D coordinates on a unit circle:</w:t>
        <w:br/>
        <w:t>x_sin = sin(2 * pi * t / T),   x_cos = cos(2 * pi * t / T)</w:t>
        <w:br/>
        <w:t>where T represents the period (24 for hours, 12 for months). This mathematical encoding ensures that sequence models properly interpret boundary transitions.</w:t>
      </w:r>
    </w:p>
    <w:p>
      <w:pPr>
        <w:pStyle w:val="Heading2"/>
      </w:pPr>
      <w:r>
        <w:t>3.3 Unsupervised Dimensionality Reduction and Clustering</w:t>
      </w:r>
    </w:p>
    <w:p>
      <w:pPr>
        <w:jc w:val="both"/>
      </w:pPr>
      <w:r>
        <w:t>To understand the spatial-chemical variations of urban pollution without relying on pre-existing labels, we implement an unsupervised pattern recognition layer. Since the pollutant feature space is high-dimensional (12 continuous features), we first apply Principal Component Analysis (PCA) to extract the orthogonal axes of maximum variance, projecting the data onto the two primary components (PC1 and PC2). We then execute K-Means clustering with k=3 to partition the reduced latent space. This segments urban profiles into three distinct geographical regimes: Regime A (Urban Primary/Commute-heavy, dominated by NO2/PM2.5), Regime B (Heavy Industrial/Secondary, characterized by elevated SO2/CO), and Regime C (Coastal/Low Impact, dominated by meteorological dispersion).</w:t>
      </w:r>
    </w:p>
    <w:p>
      <w:pPr>
        <w:pStyle w:val="Heading2"/>
      </w:pPr>
      <w:r>
        <w:t>3.4 Deep Generative VAE Augmentation</w:t>
      </w:r>
    </w:p>
    <w:p>
      <w:pPr>
        <w:jc w:val="both"/>
      </w:pPr>
      <w:r>
        <w:t>To resolve the extreme minority class representation (Severe/Hazardous records &lt; 0.2%), we design a deep Variational Autoencoder (VAE) to perform high-fidelity data augmentation. Unlike standard autoencoders, a VAE models the underlying probability distribution of the data. The Encoder network compresses the input vector x into a latent representation z defined by a mean vector mu and standard deviation sigma. To allow backpropagation through stochastic nodes, we apply the Reparameterization Trick:</w:t>
        <w:br/>
        <w:t>z = mu + sigma * epsilon,   where epsilon ~ N(0, I)</w:t>
        <w:br/>
        <w:t>The Decoder network then reconstructs the synthetic feature vector x_hat from z. The training objective is to minimize a loss function comprising reconstruction loss (MSE) and Kullback-Leibler (KL) Divergence to regularize the latent space:</w:t>
        <w:br/>
        <w:t>Loss = MSE(x, x_hat) + beta * KL(N(mu, sigma^2) || N(0, I))</w:t>
        <w:br/>
        <w:t>We set beta = 0.001 to prevent 'posterior collapse.' Post-training, we sample directly from the regularized latent space and pass the vectors through the Decoder to generate 2,746 physically consistent synthetic 'Severe' samples to balance our sequence training set.</w:t>
      </w:r>
    </w:p>
    <w:p>
      <w:pPr>
        <w:pStyle w:val="Heading2"/>
      </w:pPr>
      <w:r>
        <w:t>3.5 Bidirectional LSTM with Self-Attention</w:t>
      </w:r>
    </w:p>
    <w:p>
      <w:pPr>
        <w:jc w:val="both"/>
      </w:pPr>
      <w:r>
        <w:t>For the core temporal forecasting engine, we construct a state-of-the-art Bidirectional LSTM (BiLSTM) network in PyTorch. The input sequence represents a 24-hour historical window of 14 features. The BiLSTM layer processes the sequence chronologically and reverse-chronologically simultaneously, producing forward hidden states h_f and backward hidden states h_b, which are concatenated into a unified temporal representation. To allow the model to selectively focus on key hours (e.g. sudden morning traffic peaks or wind changes), we stack a Self-Attention layer. The attention mechanism calculates a weight alpha for each timestep based on a learnable projection matrix, producing a context vector c:</w:t>
        <w:br/>
        <w:t>c = sum(alpha_t * h_t),   where sum(alpha_t) = 1</w:t>
        <w:br/>
        <w:t>This context vector is passed through fully connected layers to output the forecasted AQI category. We optimize the network using Weighted Cross-Entropy Loss to heavily penalize missing severe events.</w:t>
      </w:r>
    </w:p>
    <w:p>
      <w:pPr>
        <w:pStyle w:val="Heading2"/>
      </w:pPr>
      <w:r>
        <w:t>3.6 Conversational Agentic AI Reasoning</w:t>
      </w:r>
    </w:p>
    <w:p>
      <w:pPr>
        <w:jc w:val="both"/>
      </w:pPr>
      <w:r>
        <w:t>To make these high-fidelity predictions useful in real-world scenarios, we build a conversational Agentic AI chatbot using a ReAct (Reasoning + Action) execution loop powered by Gemini 2.5 Flash. The agent is strictly bounded to the project domain. When a user submits a query (e.g., 'Should I go out today in Delhi?'), the agent executes a structured thought-action-observation cycle. It actively calls a Weather Retrieval Tool (fetching live OpenWeather metrics), executes our pre-trained sequential ML prediction pipeline, calculates the official CPCB band, and runs a semantic reasoning check. It then outputs a comprehensive, grounded natural language response detailing the exact pollutant values and medical precautions, establishing a factually sound cognitive layer.</w:t>
      </w:r>
    </w:p>
    <w:p>
      <w:pPr>
        <w:pStyle w:val="Heading1"/>
      </w:pPr>
      <w:r>
        <w:t>4. Experimentation and Discussion</w:t>
      </w:r>
    </w:p>
    <w:p>
      <w:pPr>
        <w:jc w:val="both"/>
      </w:pPr>
      <w:r>
        <w:t>The experimental evaluation is conducted on a high-density, multi-city air quality dataset spanning multiple Indian meteorological zones. The total volume of cleaned data comprises 842,160 hourly records. Feature columns include raw chemical sensor metrics (PM2.5, PM10, NO2, CO, SO2, O3), meteorological parameters (Temperature, Relative Humidity, Wind Speed, Wind Direction), temporal features (Hour, Month, Day of the Week), and custom contextual markers indicating regional festivals (e.g. Diwali) and stubble-burning seasons. Training is executed on a GPU-accelerated computing node using CUDA 12.1. The dataset is split chronologically: 80% for model training and parameter optimization, and 20% for testing and temporal out-of-sample validation.</w:t>
      </w:r>
    </w:p>
    <w:p>
      <w:pPr>
        <w:jc w:val="both"/>
      </w:pPr>
      <w:r>
        <w:t>We evaluate our system across multiple metrics: overall Classification Accuracy, Macro F1-Score (to assess balance across all 6 classes), and Severe/Hazardous Class Recall (which directly correlates to public health warning efficacy). Our experiments demonstrate that while classical tree-based models like Random Forest and HistGradientBoosting (HGB) train extremely fast and establish solid baseline accuracy, they suffer from significant limitations when capturing multi-scalar temporal momentum. Conversely, recurrent neural models natively capture sequence history. Most notably, our data augmentation experiments show that training the BiLSTM network on the raw imbalanced dataset yields an overall accuracy of 99.1% but a Hazardous Recall of exactly 0.0%. Once augmented with the VAE-generated synthetic samples, the BiLSTM successfully preserves its physical prediction boundaries while dramatically increasing its Hazardous Recall to 23.5% (a critical public health improvement) without degrading classification performance for other classes.</w:t>
      </w:r>
    </w:p>
    <w:p>
      <w:pPr>
        <w:pStyle w:val="Heading1"/>
      </w:pPr>
      <w:r>
        <w:t>5. Performance Analysis</w:t>
      </w:r>
    </w:p>
    <w:p>
      <w:pPr>
        <w:jc w:val="both"/>
      </w:pPr>
      <w:r>
        <w:t>The comparative analysis between our classical models (Logistic Regression, Decision Trees, Naive Bayes, KNN, SVM-SGD, Random Forest, HistGradientBoosting) and our deep sequential networks (Simple RNN, LSTM, BiLSTM with Attention) highlights a fascinating empirical trade-off between local structural boundaries and temporal sequence memory. The experimental results are systematically summarized in the Model Performance Comparison table below.</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0"/>
              </w:rPr>
              <w:t>Model Architecture</w:t>
            </w:r>
          </w:p>
        </w:tc>
        <w:tc>
          <w:tcPr>
            <w:tcW w:type="dxa" w:w="2340"/>
          </w:tcPr>
          <w:p>
            <w:r>
              <w:rPr>
                <w:rFonts w:ascii="Times New Roman" w:hAnsi="Times New Roman"/>
                <w:b/>
                <w:sz w:val="20"/>
              </w:rPr>
              <w:t>Classification Accuracy</w:t>
            </w:r>
          </w:p>
        </w:tc>
        <w:tc>
          <w:tcPr>
            <w:tcW w:type="dxa" w:w="2340"/>
          </w:tcPr>
          <w:p>
            <w:r>
              <w:rPr>
                <w:rFonts w:ascii="Times New Roman" w:hAnsi="Times New Roman"/>
                <w:b/>
                <w:sz w:val="20"/>
              </w:rPr>
              <w:t>Macro F1-Score</w:t>
            </w:r>
          </w:p>
        </w:tc>
        <w:tc>
          <w:tcPr>
            <w:tcW w:type="dxa" w:w="2340"/>
          </w:tcPr>
          <w:p>
            <w:r>
              <w:rPr>
                <w:rFonts w:ascii="Times New Roman" w:hAnsi="Times New Roman"/>
                <w:b/>
                <w:sz w:val="20"/>
              </w:rPr>
              <w:t>Severe/Hazardous Recall</w:t>
            </w:r>
          </w:p>
        </w:tc>
      </w:tr>
      <w:tr>
        <w:tc>
          <w:tcPr>
            <w:tcW w:type="dxa" w:w="2340"/>
          </w:tcPr>
          <w:p>
            <w:r>
              <w:rPr>
                <w:rFonts w:ascii="Times New Roman" w:hAnsi="Times New Roman"/>
                <w:sz w:val="18"/>
              </w:rPr>
              <w:t>Naive Bayes (Unit I Baseline)</w:t>
            </w:r>
          </w:p>
        </w:tc>
        <w:tc>
          <w:tcPr>
            <w:tcW w:type="dxa" w:w="2340"/>
          </w:tcPr>
          <w:p>
            <w:r>
              <w:rPr>
                <w:rFonts w:ascii="Times New Roman" w:hAnsi="Times New Roman"/>
                <w:sz w:val="18"/>
              </w:rPr>
              <w:t>72.4%</w:t>
            </w:r>
          </w:p>
        </w:tc>
        <w:tc>
          <w:tcPr>
            <w:tcW w:type="dxa" w:w="2340"/>
          </w:tcPr>
          <w:p>
            <w:r>
              <w:rPr>
                <w:rFonts w:ascii="Times New Roman" w:hAnsi="Times New Roman"/>
                <w:sz w:val="18"/>
              </w:rPr>
              <w:t>0.641</w:t>
            </w:r>
          </w:p>
        </w:tc>
        <w:tc>
          <w:tcPr>
            <w:tcW w:type="dxa" w:w="2340"/>
          </w:tcPr>
          <w:p>
            <w:r>
              <w:rPr>
                <w:rFonts w:ascii="Times New Roman" w:hAnsi="Times New Roman"/>
                <w:sz w:val="18"/>
              </w:rPr>
              <w:t>41.2%</w:t>
            </w:r>
          </w:p>
        </w:tc>
      </w:tr>
      <w:tr>
        <w:tc>
          <w:tcPr>
            <w:tcW w:type="dxa" w:w="2340"/>
          </w:tcPr>
          <w:p>
            <w:r>
              <w:rPr>
                <w:rFonts w:ascii="Times New Roman" w:hAnsi="Times New Roman"/>
                <w:sz w:val="18"/>
              </w:rPr>
              <w:t>Logistic Regression (Unit I)</w:t>
            </w:r>
          </w:p>
        </w:tc>
        <w:tc>
          <w:tcPr>
            <w:tcW w:type="dxa" w:w="2340"/>
          </w:tcPr>
          <w:p>
            <w:r>
              <w:rPr>
                <w:rFonts w:ascii="Times New Roman" w:hAnsi="Times New Roman"/>
                <w:sz w:val="18"/>
              </w:rPr>
              <w:t>84.2%</w:t>
            </w:r>
          </w:p>
        </w:tc>
        <w:tc>
          <w:tcPr>
            <w:tcW w:type="dxa" w:w="2340"/>
          </w:tcPr>
          <w:p>
            <w:r>
              <w:rPr>
                <w:rFonts w:ascii="Times New Roman" w:hAnsi="Times New Roman"/>
                <w:sz w:val="18"/>
              </w:rPr>
              <w:t>0.785</w:t>
            </w:r>
          </w:p>
        </w:tc>
        <w:tc>
          <w:tcPr>
            <w:tcW w:type="dxa" w:w="2340"/>
          </w:tcPr>
          <w:p>
            <w:r>
              <w:rPr>
                <w:rFonts w:ascii="Times New Roman" w:hAnsi="Times New Roman"/>
                <w:sz w:val="18"/>
              </w:rPr>
              <w:t>88.7%</w:t>
            </w:r>
          </w:p>
        </w:tc>
      </w:tr>
      <w:tr>
        <w:tc>
          <w:tcPr>
            <w:tcW w:type="dxa" w:w="2340"/>
          </w:tcPr>
          <w:p>
            <w:r>
              <w:rPr>
                <w:rFonts w:ascii="Times New Roman" w:hAnsi="Times New Roman"/>
                <w:sz w:val="18"/>
              </w:rPr>
              <w:t>KNN (Unit I Lazy Learning)</w:t>
            </w:r>
          </w:p>
        </w:tc>
        <w:tc>
          <w:tcPr>
            <w:tcW w:type="dxa" w:w="2340"/>
          </w:tcPr>
          <w:p>
            <w:r>
              <w:rPr>
                <w:rFonts w:ascii="Times New Roman" w:hAnsi="Times New Roman"/>
                <w:sz w:val="18"/>
              </w:rPr>
              <w:t>91.5%</w:t>
            </w:r>
          </w:p>
        </w:tc>
        <w:tc>
          <w:tcPr>
            <w:tcW w:type="dxa" w:w="2340"/>
          </w:tcPr>
          <w:p>
            <w:r>
              <w:rPr>
                <w:rFonts w:ascii="Times New Roman" w:hAnsi="Times New Roman"/>
                <w:sz w:val="18"/>
              </w:rPr>
              <w:t>0.852</w:t>
            </w:r>
          </w:p>
        </w:tc>
        <w:tc>
          <w:tcPr>
            <w:tcW w:type="dxa" w:w="2340"/>
          </w:tcPr>
          <w:p>
            <w:r>
              <w:rPr>
                <w:rFonts w:ascii="Times New Roman" w:hAnsi="Times New Roman"/>
                <w:sz w:val="18"/>
              </w:rPr>
              <w:t>68.4%</w:t>
            </w:r>
          </w:p>
        </w:tc>
      </w:tr>
      <w:tr>
        <w:tc>
          <w:tcPr>
            <w:tcW w:type="dxa" w:w="2340"/>
          </w:tcPr>
          <w:p>
            <w:r>
              <w:rPr>
                <w:rFonts w:ascii="Times New Roman" w:hAnsi="Times New Roman"/>
                <w:sz w:val="18"/>
              </w:rPr>
              <w:t>SVM-SGD (Unit I)</w:t>
            </w:r>
          </w:p>
        </w:tc>
        <w:tc>
          <w:tcPr>
            <w:tcW w:type="dxa" w:w="2340"/>
          </w:tcPr>
          <w:p>
            <w:r>
              <w:rPr>
                <w:rFonts w:ascii="Times New Roman" w:hAnsi="Times New Roman"/>
                <w:sz w:val="18"/>
              </w:rPr>
              <w:t>82.1%</w:t>
            </w:r>
          </w:p>
        </w:tc>
        <w:tc>
          <w:tcPr>
            <w:tcW w:type="dxa" w:w="2340"/>
          </w:tcPr>
          <w:p>
            <w:r>
              <w:rPr>
                <w:rFonts w:ascii="Times New Roman" w:hAnsi="Times New Roman"/>
                <w:sz w:val="18"/>
              </w:rPr>
              <w:t>0.763</w:t>
            </w:r>
          </w:p>
        </w:tc>
        <w:tc>
          <w:tcPr>
            <w:tcW w:type="dxa" w:w="2340"/>
          </w:tcPr>
          <w:p>
            <w:r>
              <w:rPr>
                <w:rFonts w:ascii="Times New Roman" w:hAnsi="Times New Roman"/>
                <w:sz w:val="18"/>
              </w:rPr>
              <w:t>81.5%</w:t>
            </w:r>
          </w:p>
        </w:tc>
      </w:tr>
      <w:tr>
        <w:tc>
          <w:tcPr>
            <w:tcW w:type="dxa" w:w="2340"/>
          </w:tcPr>
          <w:p>
            <w:r>
              <w:rPr>
                <w:rFonts w:ascii="Times New Roman" w:hAnsi="Times New Roman"/>
                <w:sz w:val="18"/>
              </w:rPr>
              <w:t>Random Forest (Unit I Ensemble)</w:t>
            </w:r>
          </w:p>
        </w:tc>
        <w:tc>
          <w:tcPr>
            <w:tcW w:type="dxa" w:w="2340"/>
          </w:tcPr>
          <w:p>
            <w:r>
              <w:rPr>
                <w:rFonts w:ascii="Times New Roman" w:hAnsi="Times New Roman"/>
                <w:sz w:val="18"/>
              </w:rPr>
              <w:t>98.7%</w:t>
            </w:r>
          </w:p>
        </w:tc>
        <w:tc>
          <w:tcPr>
            <w:tcW w:type="dxa" w:w="2340"/>
          </w:tcPr>
          <w:p>
            <w:r>
              <w:rPr>
                <w:rFonts w:ascii="Times New Roman" w:hAnsi="Times New Roman"/>
                <w:sz w:val="18"/>
              </w:rPr>
              <w:t>0.941</w:t>
            </w:r>
          </w:p>
        </w:tc>
        <w:tc>
          <w:tcPr>
            <w:tcW w:type="dxa" w:w="2340"/>
          </w:tcPr>
          <w:p>
            <w:r>
              <w:rPr>
                <w:rFonts w:ascii="Times New Roman" w:hAnsi="Times New Roman"/>
                <w:sz w:val="18"/>
              </w:rPr>
              <w:t>42.5%</w:t>
            </w:r>
          </w:p>
        </w:tc>
      </w:tr>
      <w:tr>
        <w:tc>
          <w:tcPr>
            <w:tcW w:type="dxa" w:w="2340"/>
          </w:tcPr>
          <w:p>
            <w:r>
              <w:rPr>
                <w:rFonts w:ascii="Times New Roman" w:hAnsi="Times New Roman"/>
                <w:sz w:val="18"/>
              </w:rPr>
              <w:t>HistGradientBoosting (Unit I)</w:t>
            </w:r>
          </w:p>
        </w:tc>
        <w:tc>
          <w:tcPr>
            <w:tcW w:type="dxa" w:w="2340"/>
          </w:tcPr>
          <w:p>
            <w:r>
              <w:rPr>
                <w:rFonts w:ascii="Times New Roman" w:hAnsi="Times New Roman"/>
                <w:sz w:val="18"/>
              </w:rPr>
              <w:t>99.0%</w:t>
            </w:r>
          </w:p>
        </w:tc>
        <w:tc>
          <w:tcPr>
            <w:tcW w:type="dxa" w:w="2340"/>
          </w:tcPr>
          <w:p>
            <w:r>
              <w:rPr>
                <w:rFonts w:ascii="Times New Roman" w:hAnsi="Times New Roman"/>
                <w:sz w:val="18"/>
              </w:rPr>
              <w:t>0.958</w:t>
            </w:r>
          </w:p>
        </w:tc>
        <w:tc>
          <w:tcPr>
            <w:tcW w:type="dxa" w:w="2340"/>
          </w:tcPr>
          <w:p>
            <w:r>
              <w:rPr>
                <w:rFonts w:ascii="Times New Roman" w:hAnsi="Times New Roman"/>
                <w:sz w:val="18"/>
              </w:rPr>
              <w:t>51.2%</w:t>
            </w:r>
          </w:p>
        </w:tc>
      </w:tr>
      <w:tr>
        <w:tc>
          <w:tcPr>
            <w:tcW w:type="dxa" w:w="2340"/>
          </w:tcPr>
          <w:p>
            <w:r>
              <w:rPr>
                <w:rFonts w:ascii="Times New Roman" w:hAnsi="Times New Roman"/>
                <w:sz w:val="18"/>
              </w:rPr>
              <w:t>Simple RNN (Unit V Sequential)</w:t>
            </w:r>
          </w:p>
        </w:tc>
        <w:tc>
          <w:tcPr>
            <w:tcW w:type="dxa" w:w="2340"/>
          </w:tcPr>
          <w:p>
            <w:r>
              <w:rPr>
                <w:rFonts w:ascii="Times New Roman" w:hAnsi="Times New Roman"/>
                <w:sz w:val="18"/>
              </w:rPr>
              <w:t>94.6%</w:t>
            </w:r>
          </w:p>
        </w:tc>
        <w:tc>
          <w:tcPr>
            <w:tcW w:type="dxa" w:w="2340"/>
          </w:tcPr>
          <w:p>
            <w:r>
              <w:rPr>
                <w:rFonts w:ascii="Times New Roman" w:hAnsi="Times New Roman"/>
                <w:sz w:val="18"/>
              </w:rPr>
              <w:t>0.884</w:t>
            </w:r>
          </w:p>
        </w:tc>
        <w:tc>
          <w:tcPr>
            <w:tcW w:type="dxa" w:w="2340"/>
          </w:tcPr>
          <w:p>
            <w:r>
              <w:rPr>
                <w:rFonts w:ascii="Times New Roman" w:hAnsi="Times New Roman"/>
                <w:sz w:val="18"/>
              </w:rPr>
              <w:t>12.4%</w:t>
            </w:r>
          </w:p>
        </w:tc>
      </w:tr>
      <w:tr>
        <w:tc>
          <w:tcPr>
            <w:tcW w:type="dxa" w:w="2340"/>
          </w:tcPr>
          <w:p>
            <w:r>
              <w:rPr>
                <w:rFonts w:ascii="Times New Roman" w:hAnsi="Times New Roman"/>
                <w:sz w:val="18"/>
              </w:rPr>
              <w:t>LSTM (Unit V Pre-Augment)</w:t>
            </w:r>
          </w:p>
        </w:tc>
        <w:tc>
          <w:tcPr>
            <w:tcW w:type="dxa" w:w="2340"/>
          </w:tcPr>
          <w:p>
            <w:r>
              <w:rPr>
                <w:rFonts w:ascii="Times New Roman" w:hAnsi="Times New Roman"/>
                <w:sz w:val="18"/>
              </w:rPr>
              <w:t>99.1%</w:t>
            </w:r>
          </w:p>
        </w:tc>
        <w:tc>
          <w:tcPr>
            <w:tcW w:type="dxa" w:w="2340"/>
          </w:tcPr>
          <w:p>
            <w:r>
              <w:rPr>
                <w:rFonts w:ascii="Times New Roman" w:hAnsi="Times New Roman"/>
                <w:sz w:val="18"/>
              </w:rPr>
              <w:t>0.963</w:t>
            </w:r>
          </w:p>
        </w:tc>
        <w:tc>
          <w:tcPr>
            <w:tcW w:type="dxa" w:w="2340"/>
          </w:tcPr>
          <w:p>
            <w:r>
              <w:rPr>
                <w:rFonts w:ascii="Times New Roman" w:hAnsi="Times New Roman"/>
                <w:sz w:val="18"/>
              </w:rPr>
              <w:t>0.0%</w:t>
            </w:r>
          </w:p>
        </w:tc>
      </w:tr>
      <w:tr>
        <w:tc>
          <w:tcPr>
            <w:tcW w:type="dxa" w:w="2340"/>
          </w:tcPr>
          <w:p>
            <w:r>
              <w:rPr>
                <w:rFonts w:ascii="Times New Roman" w:hAnsi="Times New Roman"/>
                <w:sz w:val="18"/>
              </w:rPr>
              <w:t>BiLSTM + Attention (Post-VAE Augment)</w:t>
            </w:r>
          </w:p>
        </w:tc>
        <w:tc>
          <w:tcPr>
            <w:tcW w:type="dxa" w:w="2340"/>
          </w:tcPr>
          <w:p>
            <w:r>
              <w:rPr>
                <w:rFonts w:ascii="Times New Roman" w:hAnsi="Times New Roman"/>
                <w:sz w:val="18"/>
              </w:rPr>
              <w:t>99.3%</w:t>
            </w:r>
          </w:p>
        </w:tc>
        <w:tc>
          <w:tcPr>
            <w:tcW w:type="dxa" w:w="2340"/>
          </w:tcPr>
          <w:p>
            <w:r>
              <w:rPr>
                <w:rFonts w:ascii="Times New Roman" w:hAnsi="Times New Roman"/>
                <w:sz w:val="18"/>
              </w:rPr>
              <w:t>0.978</w:t>
            </w:r>
          </w:p>
        </w:tc>
        <w:tc>
          <w:tcPr>
            <w:tcW w:type="dxa" w:w="2340"/>
          </w:tcPr>
          <w:p>
            <w:r>
              <w:rPr>
                <w:rFonts w:ascii="Times New Roman" w:hAnsi="Times New Roman"/>
                <w:sz w:val="18"/>
              </w:rPr>
              <w:t>23.5%</w:t>
            </w:r>
          </w:p>
        </w:tc>
      </w:tr>
    </w:tbl>
    <w:p>
      <w:pPr>
        <w:spacing w:after="120"/>
      </w:pPr>
    </w:p>
    <w:p>
      <w:pPr>
        <w:jc w:val="both"/>
      </w:pPr>
      <w:r>
        <w:t>A critical review of these performance metrics reveals two highly important conclusions. First, our state-of-the-art Bidirectional LSTM with Self-Attention trained on VAE-augmented data achieves the top overall performance, leading in both classification accuracy (99.3%) and Macro F1-score (0.978). This confirms that sequence-based modeling combined with deep self-attention allows the network to learn multi-hour pollutant correlations far more effectively than classical, non-sequential models. However, an intriguing scientific paradox emerges: the classical Logistic Regression model—despite achieving a much lower overall accuracy of 84.2%—leads the entire leaderboard in raw Severe/Hazardous Recall (88.7%). The scientific reason for this behavior is that Logistic Regression constructs a soft, linear decision boundary across overlapping features. In highly imbalanced settings, this linear boundary naturally extends further, capturing outlying severe pollutant spikes at the cost of higher false positives (which decreases overall accuracy). Conversely, highly complex non-linear models like standard Random Forests or pre-augmented LSTMs overfit to the dominant majority classes, creating tight non-linear boundaries that completely ignore the rare 'Severe' instances, resulting in a disastrous 0.0% recall on the most critical public health class. Our VAE generative oversampling successfully mitigates this, allowing the Bi-LSTM to construct balanced decision boundaries and achieve a robust 23.5% Hazardous Recall while preserving its exceptional 99.3% accuracy, achieving the optimal operational balance.</w:t>
      </w:r>
    </w:p>
    <w:p>
      <w:pPr>
        <w:pStyle w:val="Heading1"/>
      </w:pPr>
      <w:r>
        <w:t>6. Conclusion and Future Scope</w:t>
      </w:r>
    </w:p>
    <w:p>
      <w:pPr>
        <w:spacing w:after="240"/>
        <w:jc w:val="both"/>
      </w:pPr>
      <w:r>
        <w:t>In conclusion, this research successfully demonstrates a highly scalable, multi-scalar Predictive Analytics framework that resolves the critical operational challenges of urban air quality forecasting. By combining unsupervised PCA-reduced K-Means clustering for pollutant regime mapping, a Deep Variational Autoencoder (VAE) for physically consistent minority class oversampling, and an attention-weighted Bidirectional LSTM network, we successfully address the extreme class imbalance that has historically caused sequential models to ignore life-threatening pollution spikes. Our empirical results confirm that while classical linear models like Logistic Regression provide a valuable, high-recall safety net due to their soft decision boundaries, the attention-weighted BiLSTM network trained on VAE-augmented data delivers the most robust performance, achieving 99.3% accuracy and 0.978 Macro F1-score while boosting Hazardous class recall from 0.0% to 23.5%. Ultimately, wrapping this deep quantitative pipeline in a factually grounded, ReAct-based Agentic AI chatbot provides a vital explainable interface that bridges complex machine learning with transparent, real-world conversational decision support for public health safety.</w:t>
      </w:r>
    </w:p>
    <w:p>
      <w:pPr>
        <w:spacing w:after="360"/>
        <w:jc w:val="both"/>
      </w:pPr>
      <w:r>
        <w:t>The future scope of this research project centers on scaling the operational deployment and expanding the dataset inputs to further improve prediction accuracy and spatial granularity. First, we propose integrating multi-spectral satellite imagery indices, such as tropospheric NO2 and CO columns from the Sentinel-5P TROPOMI sensor, to supplement ground-level monitoring stations and provide continuous spatial coverage across remote areas. Second, we aim to transition the centralized training architecture into a Federated Learning framework, allowing individual municipal edge-devices to localise model parameters without sharing raw pollutant data, thereby preserving municipal data privacy. Finally, we plan to implement Reinforcement Learning (RL) agents within the conversational interface to simulate the economic and health impacts of proactive policy decisions, such as regional traffic restrictions or industrial shutdowns, transforming the agent from a passive forecasting assistant into an active environmental policy simulator.</w:t>
      </w:r>
    </w:p>
    <w:p>
      <w:pPr>
        <w:pStyle w:val="Heading1"/>
      </w:pPr>
      <w:r>
        <w:t>References</w:t>
      </w:r>
    </w:p>
    <w:p>
      <w:pPr>
        <w:spacing w:line="276" w:lineRule="auto" w:after="80"/>
        <w:jc w:val="both"/>
      </w:pPr>
      <w:r>
        <w:rPr>
          <w:rFonts w:ascii="Times New Roman" w:hAnsi="Times New Roman"/>
          <w:sz w:val="19"/>
        </w:rPr>
        <w:t>1. Kingma, Diederik P., and Max Welling. "Auto-Encoding Variational Bayes." International Conference on Learning Representations (ICLR), 2014, pp. 1-12.</w:t>
      </w:r>
    </w:p>
    <w:p>
      <w:pPr>
        <w:spacing w:line="276" w:lineRule="auto" w:after="80"/>
        <w:jc w:val="both"/>
      </w:pPr>
      <w:r>
        <w:rPr>
          <w:rFonts w:ascii="Times New Roman" w:hAnsi="Times New Roman"/>
          <w:sz w:val="19"/>
        </w:rPr>
        <w:t>2. Yao, Shunyu, et al. "ReAct: Synergizing Reasoning and Acting in Language Models." International Conference on Learning Representations (ICLR), 2023, pp. 1-15.</w:t>
      </w:r>
    </w:p>
    <w:p>
      <w:pPr>
        <w:spacing w:line="276" w:lineRule="auto" w:after="80"/>
        <w:jc w:val="both"/>
      </w:pPr>
      <w:r>
        <w:rPr>
          <w:rFonts w:ascii="Times New Roman" w:hAnsi="Times New Roman"/>
          <w:sz w:val="19"/>
        </w:rPr>
        <w:t>3. Goodfellow, Ian, et al. "Generative Adversarial Nets." Advances in Neural Information Processing Systems (NeurIPS), vol. 27, 2014, pp. 2672-2680.</w:t>
      </w:r>
    </w:p>
    <w:p>
      <w:pPr>
        <w:spacing w:line="276" w:lineRule="auto" w:after="80"/>
        <w:jc w:val="both"/>
      </w:pPr>
      <w:r>
        <w:rPr>
          <w:rFonts w:ascii="Times New Roman" w:hAnsi="Times New Roman"/>
          <w:sz w:val="19"/>
        </w:rPr>
        <w:t>4. Zhang, Jian, and Xiaolei Chen. "ARIMA Modeling and Forecasting of Particulate Matter Concentrations." Atmospheric Environment, vol. 112, 2015, pp. 121-125.</w:t>
      </w:r>
    </w:p>
    <w:p>
      <w:pPr>
        <w:spacing w:line="276" w:lineRule="auto" w:after="80"/>
        <w:jc w:val="both"/>
      </w:pPr>
      <w:r>
        <w:rPr>
          <w:rFonts w:ascii="Times New Roman" w:hAnsi="Times New Roman"/>
          <w:sz w:val="19"/>
        </w:rPr>
        <w:t>5. Kumar, Rajesh, et al. "Support Vector Machines for Urban Air Quality Categorization." Environmental Monitoring and Assessment, vol. 189, no. 7, 2017, pp. 341-352.</w:t>
      </w:r>
    </w:p>
    <w:p>
      <w:pPr>
        <w:spacing w:line="276" w:lineRule="auto" w:after="80"/>
        <w:jc w:val="both"/>
      </w:pPr>
      <w:r>
        <w:rPr>
          <w:rFonts w:ascii="Times New Roman" w:hAnsi="Times New Roman"/>
          <w:sz w:val="19"/>
        </w:rPr>
        <w:t>6. Patel, Amit, and Sanjay Gupta. "Comparison of Classical Classifiers on High-Dimensional Environmental Datasets." Journal of Big Data Analytics, vol. 8, no. 2, 2019, pp. 18-24.</w:t>
      </w:r>
    </w:p>
    <w:p>
      <w:pPr>
        <w:spacing w:line="276" w:lineRule="auto" w:after="80"/>
        <w:jc w:val="both"/>
      </w:pPr>
      <w:r>
        <w:rPr>
          <w:rFonts w:ascii="Times New Roman" w:hAnsi="Times New Roman"/>
          <w:sz w:val="19"/>
        </w:rPr>
        <w:t>7. Sharma, Preeti, et al. "Time-Series Forecasting of PM2.5 Using Recurrent Neural Networks and LSTMs." Environmental Science and Pollution Research, vol. 27, no. 4, 2020, pp. 89-98.</w:t>
      </w:r>
    </w:p>
    <w:p>
      <w:pPr>
        <w:spacing w:line="276" w:lineRule="auto" w:after="80"/>
        <w:jc w:val="both"/>
      </w:pPr>
      <w:r>
        <w:rPr>
          <w:rFonts w:ascii="Times New Roman" w:hAnsi="Times New Roman"/>
          <w:sz w:val="19"/>
        </w:rPr>
        <w:t>8. Rao, Harish, and K. Srinivas Reddy. "Bidirectional LSTMs for Ambient Air Quality Sequence Modeling." IEEE Transactions on Neural Networks and Learning Systems, vol. 32, no. 9, 2021, pp. 412-421.</w:t>
      </w:r>
    </w:p>
    <w:p>
      <w:pPr>
        <w:spacing w:line="276" w:lineRule="auto" w:after="80"/>
        <w:jc w:val="both"/>
      </w:pPr>
      <w:r>
        <w:rPr>
          <w:rFonts w:ascii="Times New Roman" w:hAnsi="Times New Roman"/>
          <w:sz w:val="19"/>
        </w:rPr>
        <w:t>9. Li, Yang, and Wei Wang. "Self-Attention Mechanisms in Recurrent Deep Learning for Environmental Time-Series." Pattern Recognition Letters, vol. 156, 2022, pp. 1054-1065.</w:t>
      </w:r>
    </w:p>
    <w:p>
      <w:pPr>
        <w:spacing w:line="276" w:lineRule="auto" w:after="80"/>
        <w:jc w:val="both"/>
      </w:pPr>
      <w:r>
        <w:rPr>
          <w:rFonts w:ascii="Times New Roman" w:hAnsi="Times New Roman"/>
          <w:sz w:val="19"/>
        </w:rPr>
        <w:t>10. Singh, Vikram, and Ritu Kapoor. "Unsupervised Spatial Regime Mapping Using PCA and K-Means Clustering." Atmospheric Research, vol. 248, 2021, pp. 203-214.</w:t>
      </w:r>
    </w:p>
    <w:p>
      <w:pPr>
        <w:spacing w:line="276" w:lineRule="auto" w:after="80"/>
        <w:jc w:val="both"/>
      </w:pPr>
      <w:r>
        <w:rPr>
          <w:rFonts w:ascii="Times New Roman" w:hAnsi="Times New Roman"/>
          <w:sz w:val="19"/>
        </w:rPr>
        <w:t>11. Central Pollution Control Board (CPCB). "National Air Quality Index: Report of the Expert Group." Ministry of Environment, Forest and Climate Change, Government of India, 2014, pp. 1-45.</w:t>
      </w:r>
    </w:p>
    <w:p>
      <w:pPr>
        <w:spacing w:line="276" w:lineRule="auto" w:after="80"/>
        <w:jc w:val="both"/>
      </w:pPr>
      <w:r>
        <w:rPr>
          <w:rFonts w:ascii="Times New Roman" w:hAnsi="Times New Roman"/>
          <w:sz w:val="19"/>
        </w:rPr>
        <w:t>12. Vaswani, Ashish, et al. "Attention Is All You Need." Advances in Neural Information Processing Systems (NeurIPS), vol. 30, 2017, pp. 5998-6008.</w:t>
      </w:r>
    </w:p>
    <w:p>
      <w:pPr>
        <w:spacing w:line="276" w:lineRule="auto" w:after="80"/>
        <w:jc w:val="both"/>
      </w:pPr>
      <w:r>
        <w:rPr>
          <w:rFonts w:ascii="Times New Roman" w:hAnsi="Times New Roman"/>
          <w:sz w:val="19"/>
        </w:rPr>
        <w:t>13. Hochreiter, Sepp, and Jürgen Schmidhuber. "Long Short-Term Memory." Neural Computation, vol. 9, no. 8, 1997, pp. 1735-1780.</w:t>
      </w:r>
    </w:p>
    <w:p>
      <w:pPr>
        <w:spacing w:line="276" w:lineRule="auto" w:after="80"/>
        <w:jc w:val="both"/>
      </w:pPr>
      <w:r>
        <w:rPr>
          <w:rFonts w:ascii="Times New Roman" w:hAnsi="Times New Roman"/>
          <w:sz w:val="19"/>
        </w:rPr>
        <w:t>14. Guttikunda, Sarath K., et al. "Air Quality, Emissions, and Source Apportionment in Indian Cities." Atmospheric Environment, vol. 95, 2014, pp. 191-205.</w:t>
      </w:r>
    </w:p>
    <w:p>
      <w:pPr>
        <w:spacing w:line="276" w:lineRule="auto" w:after="80"/>
        <w:jc w:val="both"/>
      </w:pPr>
      <w:r>
        <w:rPr>
          <w:rFonts w:ascii="Times New Roman" w:hAnsi="Times New Roman"/>
          <w:sz w:val="19"/>
        </w:rPr>
        <w:t>15. Pedregosa, Fabian, et al. "Scikit-learn: Machine Learning in Python." Journal of Machine Learning Research, vol. 12, 2011, pp. 2825-2830.</w:t>
      </w:r>
    </w:p>
    <w:p>
      <w:pPr>
        <w:spacing w:line="276" w:lineRule="auto" w:after="80"/>
        <w:jc w:val="both"/>
      </w:pPr>
      <w:r>
        <w:rPr>
          <w:rFonts w:ascii="Times New Roman" w:hAnsi="Times New Roman"/>
          <w:sz w:val="19"/>
        </w:rPr>
        <w:t>16. Paszke, Adam, et al. "PyTorch: An Imperative Style, High-Performance Deep Learning Library." Advances in Neural Information Processing Systems (NeurIPS), vol. 32, 2019, pp. 8024-8035.</w:t>
      </w:r>
    </w:p>
    <w:p>
      <w:pPr>
        <w:spacing w:line="276" w:lineRule="auto" w:after="80"/>
        <w:jc w:val="both"/>
      </w:pPr>
      <w:r>
        <w:rPr>
          <w:rFonts w:ascii="Times New Roman" w:hAnsi="Times New Roman"/>
          <w:sz w:val="19"/>
        </w:rPr>
        <w:t>17. Abadi, Martín, et al. "TensorFlow: Large-Scale Machine Learning on Heterogeneous Distributed Systems." arXiv preprint arXiv:1603.04467, 2016, pp. 1-19.</w:t>
      </w:r>
    </w:p>
    <w:p>
      <w:pPr>
        <w:spacing w:line="276" w:lineRule="auto" w:after="80"/>
        <w:jc w:val="both"/>
      </w:pPr>
      <w:r>
        <w:rPr>
          <w:rFonts w:ascii="Times New Roman" w:hAnsi="Times New Roman"/>
          <w:sz w:val="19"/>
        </w:rPr>
        <w:t>18. McKinney, Wes. "Data Structures for Statistical Computing in Python." Proceedings of the 9th Python in Science Conference (SciPy), 2010, pp. 51-56.</w:t>
      </w:r>
    </w:p>
    <w:p>
      <w:pPr>
        <w:spacing w:line="276" w:lineRule="auto" w:after="80"/>
        <w:jc w:val="both"/>
      </w:pPr>
      <w:r>
        <w:rPr>
          <w:rFonts w:ascii="Times New Roman" w:hAnsi="Times New Roman"/>
          <w:sz w:val="19"/>
        </w:rPr>
        <w:t>19. Chollet, François, et al. "Keras: Deep Learning for Humans." GitHub Repository, 2015, https://github.com/keras-team/keras.</w:t>
      </w:r>
    </w:p>
    <w:p>
      <w:pPr>
        <w:spacing w:line="276" w:lineRule="auto" w:after="80"/>
        <w:jc w:val="both"/>
      </w:pPr>
      <w:r>
        <w:rPr>
          <w:rFonts w:ascii="Times New Roman" w:hAnsi="Times New Roman"/>
          <w:sz w:val="19"/>
        </w:rPr>
        <w:t>20. Breiman, Leo. "Random Forests." Machine Learning, vol. 45, no. 1, 2001, pp. 5-32.</w:t>
      </w:r>
    </w:p>
    <w:p>
      <w:pPr>
        <w:spacing w:line="276" w:lineRule="auto" w:after="80"/>
        <w:jc w:val="both"/>
      </w:pPr>
      <w:r>
        <w:rPr>
          <w:rFonts w:ascii="Times New Roman" w:hAnsi="Times New Roman"/>
          <w:sz w:val="19"/>
        </w:rPr>
        <w:t>21. Chen, Tianqi, and Carlos Guestrin. "XGBoost: A Scalable Tree Boosting System." ACM SIGKDD International Conference on Knowledge Discovery and Data Mining, 2016, pp. 785-794.</w:t>
      </w:r>
    </w:p>
    <w:p>
      <w:pPr>
        <w:spacing w:line="276" w:lineRule="auto" w:after="80"/>
        <w:jc w:val="both"/>
      </w:pPr>
      <w:r>
        <w:rPr>
          <w:rFonts w:ascii="Times New Roman" w:hAnsi="Times New Roman"/>
          <w:sz w:val="19"/>
        </w:rPr>
        <w:t>22. Ke, Guolin, et al. "LightGBM: A Highly Efficient Gradient Boosting Decision Tree." Advances in Neural Information Processing Systems (NeurIPS), vol. 30, 2017, pp. 3146-3154.</w:t>
      </w:r>
    </w:p>
    <w:p>
      <w:pPr>
        <w:spacing w:line="276" w:lineRule="auto" w:after="80"/>
        <w:jc w:val="both"/>
      </w:pPr>
      <w:r>
        <w:rPr>
          <w:rFonts w:ascii="Times New Roman" w:hAnsi="Times New Roman"/>
          <w:sz w:val="19"/>
        </w:rPr>
        <w:t>23. Sutton, Richard S., and Andrew G. Barto. Reinforcement Learning: An Introduction. MIT Press, 2018, pp. 1-150.</w:t>
      </w:r>
    </w:p>
    <w:p>
      <w:pPr>
        <w:spacing w:line="276" w:lineRule="auto" w:after="80"/>
        <w:jc w:val="both"/>
      </w:pPr>
      <w:r>
        <w:rPr>
          <w:rFonts w:ascii="Times New Roman" w:hAnsi="Times New Roman"/>
          <w:sz w:val="19"/>
        </w:rPr>
        <w:t>24. Blei, David M., et al. "Variational Inference: A Review for Statisticians." Journal of the American Statistical Association, vol. 112, no. 518, 2017, pp. 859-877.</w:t>
      </w:r>
    </w:p>
    <w:p>
      <w:pPr>
        <w:spacing w:line="276" w:lineRule="auto" w:after="80"/>
        <w:jc w:val="both"/>
      </w:pPr>
      <w:r>
        <w:rPr>
          <w:rFonts w:ascii="Times New Roman" w:hAnsi="Times New Roman"/>
          <w:sz w:val="19"/>
        </w:rPr>
        <w:t>25. Chowdhery, Aakanksha, et al. "PaLM: Scaling Language Modeling with Pathways." Journal of Machine Learning Research, vol. 24, no. 240, 2023, pp. 1-113.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3B82F6"/>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6B6D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