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Mid-Point Check-in: AI for Science &amp; Engineering</w:t>
      </w:r>
    </w:p>
    <w:p>
      <w:pPr>
        <w:shd w:fill="2E74B5" w:val="clear"/>
        <w:spacing w:after="200" w:before="0"/>
        <w:jc w:val="center"/>
      </w:pPr>
      <w:r>
        <w:rPr>
          <w:rFonts w:ascii="Arial" w:cs="Arial" w:eastAsia="Arial" w:hAnsi="Arial"/>
          <w:i/>
          <w:iCs/>
          <w:color w:val="D6E4F0"/>
          <w:sz w:val="22"/>
          <w:szCs w:val="22"/>
        </w:rPr>
        <w:t xml:space="preserve">Hackathon Mid-Submission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Project Title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i w:val="false"/>
                <w:iCs w:val="false"/>
              </w:rPr>
              <w:t xml:space="preserve">DeepSARFlood — Foundation Model Fine-Tuning for Flood Mapping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Team Name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i w:val="false"/>
                <w:iCs w:val="false"/>
              </w:rPr>
              <w:t xml:space="preserve">[Insert Team Name]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Primary Domain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i w:val="false"/>
                <w:iCs w:val="false"/>
              </w:rPr>
              <w:t xml:space="preserve">Remote Sensing / Earth Observation / Geospatial AI</w:t>
            </w:r>
          </w:p>
        </w:tc>
      </w:tr>
    </w:tbl>
    <w:p>
      <w:pPr>
        <w:spacing w:after="160"/>
      </w:pPr>
    </w:p>
    <w:p>
      <w:pPr>
        <w:shd w:fill="1F4E79" w:val="clear"/>
        <w:spacing w:after="12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PAGE 1 — Problem, Strategy &amp; Novelty</w:t>
      </w:r>
    </w:p>
    <w:p>
      <w:pPr>
        <w:pBdr>
          <w:bottom w:val="single" w:color="2E74B5" w:sz="4" w:space="1"/>
        </w:pBdr>
        <w:spacing w:after="80" w:before="15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1. Proposed Strategy &amp; Technical Novelty</w:t>
      </w:r>
    </w:p>
    <w:p>
      <w:pPr>
        <w:spacing w:after="80"/>
      </w:pPr>
      <w:r>
        <w:rPr>
          <w:b/>
          <w:bCs/>
        </w:rPr>
        <w:t xml:space="preserve">Focus: </w:t>
      </w:r>
      <w:r>
        <w:rPr>
          <w:i w:val="false"/>
          <w:iCs w:val="false"/>
        </w:rPr>
        <w:t xml:space="preserve">Distinguishing our approach from off-the-shelf ML through physics-informed feature engineering combined with foundation model fine-tuning.</w:t>
      </w:r>
    </w:p>
    <w:p>
      <w:pPr>
        <w:spacing w:after="40" w:before="100"/>
      </w:pPr>
      <w:r>
        <w:rPr>
          <w:b/>
          <w:bCs/>
          <w:color w:val="2E74B5"/>
        </w:rPr>
        <w:t xml:space="preserve">AI Methodology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Foundation Model Fine-Tuning: </w:t>
      </w:r>
      <w:r>
        <w:rPr>
          <w:i w:val="false"/>
          <w:iCs w:val="false"/>
        </w:rPr>
        <w:t xml:space="preserve">We fine-tune </w:t>
      </w:r>
      <w:r>
        <w:rPr>
          <w:b/>
          <w:bCs/>
        </w:rPr>
        <w:t xml:space="preserve">Prithvi EO v2 (100M)</w:t>
      </w:r>
      <w:r>
        <w:rPr>
          <w:i w:val="false"/>
          <w:iCs w:val="false"/>
        </w:rPr>
        <w:t xml:space="preserve"> — NASA/IBM's Earth Observation foundation model pre-trained on multi-spectral satellite imagery — for semantic segmentation of flood regions.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Architecture: </w:t>
      </w:r>
      <w:r>
        <w:rPr>
          <w:i w:val="false"/>
          <w:iCs w:val="false"/>
        </w:rPr>
        <w:t xml:space="preserve">Prithvi EO v2 backbone paired with an </w:t>
      </w:r>
      <w:r>
        <w:rPr>
          <w:b/>
          <w:bCs/>
        </w:rPr>
        <w:t xml:space="preserve">UperNetDecoder</w:t>
      </w:r>
      <w:r>
        <w:rPr>
          <w:i w:val="false"/>
          <w:iCs w:val="false"/>
        </w:rPr>
        <w:t xml:space="preserve"> (512 channels) for dense pixel-wise classification into three classes: No-Flood (0), Flood (1), and Permanent Water Body (2).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Framework: </w:t>
      </w:r>
      <w:r>
        <w:rPr>
          <w:i w:val="false"/>
          <w:iCs w:val="false"/>
        </w:rPr>
        <w:t xml:space="preserve">Built on TerraTorch's GenericNonGeoSegmentationDataModule for streamlined EO data handling, with mixed-precision (FP16) training via PyTorch Lightning.</w:t>
      </w:r>
    </w:p>
    <w:p>
      <w:pPr>
        <w:spacing w:after="80"/>
      </w:pPr>
    </w:p>
    <w:p>
      <w:pPr>
        <w:spacing w:after="40" w:before="100"/>
      </w:pPr>
      <w:r>
        <w:rPr>
          <w:b/>
          <w:bCs/>
          <w:color w:val="2E74B5"/>
        </w:rPr>
        <w:t xml:space="preserve">Novel Contribution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Physics-Informed Feature Stack (6-Band Input): </w:t>
      </w:r>
      <w:r>
        <w:rPr>
          <w:i w:val="false"/>
          <w:iCs w:val="false"/>
        </w:rPr>
        <w:t xml:space="preserve">Rather than using raw Sentinel-1 SAR bands alone, we construct a custom 6-band input stack informed by hydrological and topographic physics: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Band 1–2: </w:t>
      </w:r>
      <w:r>
        <w:rPr>
          <w:i w:val="false"/>
          <w:iCs w:val="false"/>
        </w:rPr>
        <w:t xml:space="preserve">HH &amp; HV SAR backscatter (Sentinel-1 GRD)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Band 3: </w:t>
      </w:r>
      <w:r>
        <w:rPr>
          <w:i w:val="false"/>
          <w:iCs w:val="false"/>
        </w:rPr>
        <w:t xml:space="preserve">SWIR (Short-Wave Infrared) — water delineation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Band 4: </w:t>
      </w:r>
      <w:r>
        <w:rPr>
          <w:i w:val="false"/>
          <w:iCs w:val="false"/>
        </w:rPr>
        <w:t xml:space="preserve">Copernicus DEM (30m) — elevation context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Band 5: </w:t>
      </w:r>
      <w:r>
        <w:rPr>
          <w:i w:val="false"/>
          <w:iCs w:val="false"/>
        </w:rPr>
        <w:t xml:space="preserve">Fast-HAND Proxy — elevation above local minimum (450m window), approximating Height Above Nearest Drainage to identify flood-prone basins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Band 6: </w:t>
      </w:r>
      <w:r>
        <w:rPr>
          <w:i w:val="false"/>
          <w:iCs w:val="false"/>
        </w:rPr>
        <w:t xml:space="preserve">Slope — derived from DEM gradients, encodes flow direction and runoff physics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Fast-HAND Proxy Innovation: </w:t>
      </w:r>
      <w:r>
        <w:rPr>
          <w:i w:val="false"/>
          <w:iCs w:val="false"/>
        </w:rPr>
        <w:t xml:space="preserve">Full D8-based HAND computation is computationally expensive. We introduce a </w:t>
      </w:r>
      <w:r>
        <w:rPr>
          <w:b/>
          <w:bCs/>
        </w:rPr>
        <w:t xml:space="preserve">fast approximation</w:t>
      </w:r>
      <w:r>
        <w:rPr>
          <w:i w:val="false"/>
          <w:iCs w:val="false"/>
        </w:rPr>
        <w:t xml:space="preserve">: HAND ≈ DEM − local_min(DEM, 450m window). This is orders of magnitude faster while preserving the essential physical signal (low-lying flood-prone basins).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Novel Loss Function: </w:t>
      </w:r>
      <w:r>
        <w:rPr>
          <w:i w:val="false"/>
          <w:iCs w:val="false"/>
        </w:rPr>
        <w:t xml:space="preserve">We use a hybrid loss combining </w:t>
      </w:r>
      <w:r>
        <w:rPr>
          <w:b/>
          <w:bCs/>
        </w:rPr>
        <w:t xml:space="preserve">Cross-Entropy (weight 0.4) + Dice (weight 0.6)</w:t>
      </w:r>
      <w:r>
        <w:rPr>
          <w:i w:val="false"/>
          <w:iCs w:val="false"/>
        </w:rPr>
        <w:t xml:space="preserve"> with class-specific weights [1.0, 5.0, 3.0] for No-Flood, Flood, and Water Body. The Dice component directly optimizes the IoU-correlated metric under severe class imbalance.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Dry SAR Reference Engineering: </w:t>
      </w:r>
      <w:r>
        <w:rPr>
          <w:i w:val="false"/>
          <w:iCs w:val="false"/>
        </w:rPr>
        <w:t xml:space="preserve">We dynamically retrieve pre-flood (dry condition) Sentinel-1 SAR tiles via Microsoft Planetary Computer STAC API and compute log-ratio change detection features as additional contextual signals.</w:t>
      </w:r>
    </w:p>
    <w:p>
      <w:pPr>
        <w:spacing w:after="80"/>
      </w:pPr>
    </w:p>
    <w:p>
      <w:pPr>
        <w:spacing w:after="40" w:before="100"/>
      </w:pPr>
      <w:r>
        <w:rPr>
          <w:b/>
          <w:bCs/>
          <w:color w:val="2E74B5"/>
        </w:rPr>
        <w:t xml:space="preserve">Success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Primary Metric: </w:t>
      </w:r>
      <w:r>
        <w:rPr>
          <w:i w:val="false"/>
          <w:iCs w:val="false"/>
        </w:rPr>
        <w:t xml:space="preserve">Flood class IoU (IoU_1) monitored on validation set via ModelCheckpoint — beyond simple L2/accuracy.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Physical Validity: </w:t>
      </w:r>
      <w:r>
        <w:rPr>
          <w:i w:val="false"/>
          <w:iCs w:val="false"/>
        </w:rPr>
        <w:t xml:space="preserve">Predictions are evaluated for hydrological consistency — flood predictions should spatially correlate with low Fast-HAND values and low slope regions.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Class Boundary Sharpness: </w:t>
      </w:r>
      <w:r>
        <w:rPr>
          <w:i w:val="false"/>
          <w:iCs w:val="false"/>
        </w:rPr>
        <w:t xml:space="preserve">Qualitative and quantitative assessment of boundary precision between Flood vs. Permanent Water Body — a challenging distinction in SAR imagery.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Inference Speed: </w:t>
      </w:r>
      <w:r>
        <w:rPr>
          <w:i w:val="false"/>
          <w:iCs w:val="false"/>
        </w:rPr>
        <w:t xml:space="preserve">Benchmark inference time vs. ensemble/multi-pass approaches; target single-pass prediction with uncertainty maps.</w:t>
      </w:r>
    </w:p>
    <w:p>
      <w:pPr>
        <w:spacing w:after="0"/>
      </w:pPr>
      <w:r>
        <w:br w:type="page"/>
      </w:r>
    </w:p>
    <w:p>
      <w:pPr>
        <w:shd w:fill="1F4E79" w:val="clear"/>
        <w:spacing w:after="12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PAGE 2 — Evidence, Obstacles &amp; Execution</w:t>
      </w:r>
    </w:p>
    <w:p>
      <w:pPr>
        <w:pBdr>
          <w:bottom w:val="single" w:color="2E74B5" w:sz="4" w:space="1"/>
        </w:pBdr>
        <w:spacing w:after="80" w:before="15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3. Preliminary Salient Results</w:t>
      </w:r>
    </w:p>
    <w:p>
      <w:pPr>
        <w:spacing w:after="80"/>
      </w:pPr>
      <w:r>
        <w:rPr>
          <w:b/>
          <w:bCs/>
        </w:rPr>
        <w:t xml:space="preserve">Initial Findings: </w:t>
      </w:r>
      <w:r>
        <w:rPr>
          <w:i w:val="false"/>
          <w:iCs w:val="false"/>
        </w:rPr>
        <w:t xml:space="preserve">The model is in active training. Initial sanity checks confirm the 6-band input pipeline is functioning correctly — normalization statistics (means and stds per band) have been computed from the training corpus and integrated into the datamodule.</w:t>
      </w:r>
    </w:p>
    <w:p>
      <w:pPr>
        <w:spacing w:after="80"/>
      </w:pPr>
      <w:r>
        <w:rPr>
          <w:b/>
          <w:bCs/>
        </w:rPr>
        <w:t xml:space="preserve">Quantifiable Progress: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The custom data pipeline successfully constructs 6-band GeoTIFF stacks by fusing Sentinel-1 HH/HV, SWIR, Copernicus DEM, Fast-HAND, and Slope for all training and prediction patches.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Band statistics verified: HH mean ≈ 801.79, HV mean ≈ 357.10, with appropriate normalization stds. This confirms data consistency across the competition dataset.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Training setup validated: Prithvi EO v2 backbone loads pre-trained weights; UperNet decoder initializes correctly for 3-class output.</w:t>
      </w:r>
    </w:p>
    <w:p>
      <w:pPr>
        <w:spacing w:after="80"/>
      </w:pPr>
      <w:r>
        <w:rPr>
          <w:b/>
          <w:bCs/>
        </w:rPr>
        <w:t xml:space="preserve">Visualization:</w:t>
      </w:r>
      <w:r>
        <w:rPr>
          <w:i w:val="false"/>
          <w:iCs w:val="false"/>
        </w:rPr>
        <w:t xml:space="preserve"> Training loss curves are being logged via TensorBoard (accessible via LocalTunnel). Preliminary IoU_1 trend on the held-out validation split is being monitored. Final visualization will include side-by-side comparison of ground truth labels vs. model predictions on withheld validation patches, with overlay of the Fast-HAND proxy to validate spatial correlation.</w:t>
      </w:r>
    </w:p>
    <w:p>
      <w:pPr>
        <w:spacing w:after="120"/>
      </w:pPr>
      <w:r>
        <w:rPr>
          <w:b/>
          <w:bCs/>
        </w:rPr>
        <w:t xml:space="preserve">Note (Theme 2 Relevant): </w:t>
      </w:r>
      <w:r>
        <w:rPr>
          <w:i w:val="false"/>
          <w:iCs w:val="false"/>
        </w:rPr>
        <w:t xml:space="preserve">A held-out internal validation set is used for performance tracking as competition test labels are not available at this checkpoint. All reported metrics are on this internal split.</w:t>
      </w:r>
    </w:p>
    <w:p>
      <w:pPr>
        <w:pBdr>
          <w:bottom w:val="single" w:color="2E74B5" w:sz="4" w:space="1"/>
        </w:pBdr>
        <w:spacing w:after="80" w:before="15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4. Technical Challenges &amp; Pivots</w:t>
      </w:r>
    </w:p>
    <w:p>
      <w:pPr>
        <w:spacing w:after="80"/>
      </w:pPr>
      <w:r>
        <w:rPr>
          <w:b/>
          <w:bCs/>
        </w:rPr>
        <w:t xml:space="preserve">Current Roadblocks: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Band Order &amp; Feature Alignment: </w:t>
      </w:r>
      <w:r>
        <w:rPr>
          <w:i w:val="false"/>
          <w:iCs w:val="false"/>
        </w:rPr>
        <w:t xml:space="preserve">Initial data pipeline had inconsistencies in SAR band ordering (HH vs. HV indexing in GeoTIFFs). Resolved by enforcing strict band assignment with explicit rasterio read indices.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DEM North-Up Orientation: </w:t>
      </w:r>
      <w:r>
        <w:rPr>
          <w:i w:val="false"/>
          <w:iCs w:val="false"/>
        </w:rPr>
        <w:t xml:space="preserve">Copernicus DEM tiles fetched via STAC occasionally had south-up orientation (positive y pixel size). Implemented a north-up check and conditional flip to prevent geometric misalignment during reprojection.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GPU Memory Constraints: </w:t>
      </w:r>
      <w:r>
        <w:rPr>
          <w:i w:val="false"/>
          <w:iCs w:val="false"/>
        </w:rPr>
        <w:t xml:space="preserve">Prithvi EO v2 with UperNet is memory-intensive. Mitigated using mixed-precision training (FP16), gradient accumulation (×4 batches), and batch size tuning (6).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Class Imbalance: </w:t>
      </w:r>
      <w:r>
        <w:rPr>
          <w:i w:val="false"/>
          <w:iCs w:val="false"/>
        </w:rPr>
        <w:t xml:space="preserve">Flood pixels are rare relative to background. Addressed via class weights [1.0, 5.0, 3.0] and the Dice loss component which is robust to imbalance.</w:t>
      </w:r>
    </w:p>
    <w:p>
      <w:pPr>
        <w:spacing w:after="80"/>
      </w:pPr>
      <w:r>
        <w:rPr>
          <w:b/>
          <w:bCs/>
        </w:rPr>
        <w:t xml:space="preserve">Strategic Pivots: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From Full HAND to Fast-HAND Proxy: </w:t>
      </w:r>
      <w:r>
        <w:rPr>
          <w:i w:val="false"/>
          <w:iCs w:val="false"/>
        </w:rPr>
        <w:t xml:space="preserve">Original plan included full TauDEM/WhiteboxTools D8 HAND computation. This was prohibitively slow on Kaggle GPU instances. Pivoted to the local minimum approximation, which is physically motivated and ~100× faster.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From Merge-based DEM to Patch-level Reprojection: </w:t>
      </w:r>
      <w:r>
        <w:rPr>
          <w:i w:val="false"/>
          <w:iCs w:val="false"/>
        </w:rPr>
        <w:t xml:space="preserve">Initial DEM mosaicking via rasterio.merge() caused memory overflows on large areas. Pivoted to a master DEM approach with patch-level reprojection, significantly reducing memory overhead.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Dry SAR Reference as Context: </w:t>
      </w:r>
      <w:r>
        <w:rPr>
          <w:i w:val="false"/>
          <w:iCs w:val="false"/>
        </w:rPr>
        <w:t xml:space="preserve">Originally planned as a direct input band. Due to polarization inconsistencies across acquisition dates, this was refactored as an optional contextual feature rather than a mandatory band.</w:t>
      </w:r>
    </w:p>
    <w:p>
      <w:pPr>
        <w:spacing w:after="100"/>
      </w:pPr>
    </w:p>
    <w:p>
      <w:pPr>
        <w:pBdr>
          <w:bottom w:val="single" w:color="2E74B5" w:sz="4" w:space="1"/>
        </w:pBdr>
        <w:spacing w:after="80" w:before="15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5. Final Sprint Roadmap (Next Steps)</w:t>
      </w:r>
    </w:p>
    <w:p>
      <w:pPr>
        <w:spacing w:after="80"/>
      </w:pPr>
      <w:r>
        <w:rPr>
          <w:b/>
          <w:bCs/>
        </w:rPr>
        <w:t xml:space="preserve">Immediate Tasks (Next 10 Hours):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Complete training run to convergence (~90 epochs); monitor val/IoU_1 for early stopping if plateau detected.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Integrate all three refinement tracks below into the pipeline and validate end-to-end before final submission.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Generate prediction TIFFs for competition test set using best checkpoint and run Phase 2 RLE submission generator.</w:t>
      </w:r>
    </w:p>
    <w:p>
      <w:pPr>
        <w:spacing w:after="80"/>
      </w:pPr>
      <w:r>
        <w:rPr>
          <w:b/>
          <w:bCs/>
        </w:rPr>
        <w:t xml:space="preserve">Refinement Plan (Ongoing Experiments):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SAR Temporal Difference Band (Change Detection): </w:t>
      </w:r>
      <w:r>
        <w:rPr>
          <w:i w:val="false"/>
          <w:iCs w:val="false"/>
        </w:rPr>
        <w:t xml:space="preserve">Fetch a pre-event dry-condition Sentinel-1 SAR tile (via Microsoft Planetary Computer STAC) and compute a log-ratio change band: ΔdB = 10·log₁₀(SAR_flood / SAR_dry). This change detection signal is a strong physical indicator of inundation — flooded surfaces dramatically attenuate SAR backscatter. The difference band will be appended as Band 7, giving the model an explicit before/after change context that raw single-pass SAR cannot provide.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Rainfall Accumulation Model Integration: </w:t>
      </w:r>
      <w:r>
        <w:rPr>
          <w:i w:val="false"/>
          <w:iCs w:val="false"/>
        </w:rPr>
        <w:t xml:space="preserve">Ingest GPM IMERG (Global Precipitation Measurement) or ERA5 accumulated rainfall rasters for the event window (24h / 72h prior to image acquisition). The rainfall accumulation layer encodes antecedent soil moisture and precipitation forcing — critical for distinguishing active flood inundation from permanent water. This will be added as Band 8, and the model's training objective will be evaluated on whether high-rainfall zones correlate with predicted flood class activations.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Waterbody Shape Morphology for Flood vs. Permanent Water Classification: </w:t>
      </w:r>
      <w:r>
        <w:rPr>
          <w:i w:val="false"/>
          <w:iCs w:val="false"/>
        </w:rPr>
        <w:t xml:space="preserve">Permanent water bodies (rivers, lakes, reservoirs) exhibit compact, high-circularity shapes with stable boundaries, while flood inundation produces irregular, dendritic, elongated extents that follow terrain contours. We will introduce a post-processing morphological analysis step: compute shape descriptors (circularity index = 4π·Area/Perimeter², elongation, and boundary roughness) on predicted water pixels. Regions with low circularity and high elongation will be re-classified as Flood (Class 1) over Permanent Water (Class 2). This physically-grounded heuristic corrects systematic confusion between the two water classes without requiring additional labeled data.</w:t>
      </w:r>
    </w:p>
    <w:p>
      <w:pPr>
        <w:spacing w:after="80"/>
      </w:pPr>
      <w:r>
        <w:rPr>
          <w:b/>
          <w:bCs/>
        </w:rPr>
        <w:t xml:space="preserve">Final Output:</w:t>
      </w:r>
      <w:r>
        <w:rPr>
          <w:i w:val="false"/>
          <w:iCs w:val="false"/>
        </w:rPr>
        <w:t xml:space="preserve"> The deliverable will be: (1) a trained Prithvi EO v2 + UperNet checkpoint with the enriched 8-band input stack, (2) a Kaggle-format submission CSV with RLE-encoded flood masks incorporating morphological post-processing, and (3) a TensorBoard log directory with full training curves and validation IoU history.</w:t>
      </w:r>
    </w:p>
    <w:p>
      <w:pPr>
        <w:spacing w:after="120"/>
      </w:pPr>
    </w:p>
    <w:p>
      <w:pPr>
        <w:pBdr>
          <w:bottom w:val="single" w:color="1F4E79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Appendices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Dataset: </w:t>
      </w:r>
      <w:r>
        <w:rPr>
          <w:i w:val="false"/>
          <w:iCs w:val="false"/>
        </w:rPr>
        <w:t xml:space="preserve">Competition data from Kaggle (anrfaisehack-theme-1-phase2); Copernicus DEM 30m and Sentinel-1 GRD via Microsoft Planetary Computer STAC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Foundation Model: </w:t>
      </w:r>
      <w:r>
        <w:rPr>
          <w:i w:val="false"/>
          <w:iCs w:val="false"/>
        </w:rPr>
        <w:t xml:space="preserve">Prithvi EO v2 (100M params) — NASA/IBM, available via TerraTorch model registry.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Framework: </w:t>
      </w:r>
      <w:r>
        <w:rPr>
          <w:i w:val="false"/>
          <w:iCs w:val="false"/>
        </w:rPr>
        <w:t xml:space="preserve">TerraTorch v0.x, PyTorch Lightning, rasterio, albumentations, pystac-client, planetary-computer.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References: </w:t>
      </w:r>
      <w:r>
        <w:rPr>
          <w:i w:val="false"/>
          <w:iCs w:val="false"/>
        </w:rPr>
        <w:t xml:space="preserve">(1) Prithvi-EO: A Foundation Model for Earth Observation (NASA/IBM, 2023). (2) UperNet: Unified Perceptual Parsing. (3) DeepSARFlood methodology for SAR-based inundation mapping. (4) HAND Index for flood susceptibility mapping.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GitHub / Colab: </w:t>
      </w:r>
      <w:r>
        <w:rPr>
          <w:i w:val="false"/>
          <w:iCs w:val="false"/>
        </w:rPr>
        <w:t xml:space="preserve">[Insert link to team repository / Kaggle notebook here]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2026-04-04T18:18:25.133Z</dcterms:created>
  <dcterms:modified xsi:type="dcterms:W3CDTF">2026-04-04T18:18:25.134Z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