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07.15 – Operations and Observability</w:t>
      </w:r>
    </w:p>
    <w:p>
      <w:pPr>
        <w:jc w:val="center"/>
      </w:pPr>
      <w:r>
        <w:rPr>
          <w:b/>
        </w:rPr>
        <w:t>Profit-Bees Strategy Platform | Version 1.0 – Review Draft</w:t>
      </w:r>
    </w:p>
    <w:p>
      <w:r>
        <w:t>Purpose: Define the operational model, observability architecture, monitoring, alerting, diagnostics, incident response and manual-debugging capabilities required to operate the Profit-Bees platform safely during market hours and outside market hours.</w:t>
      </w:r>
    </w:p>
    <w:p>
      <w:r>
        <w:t>Architecture alignment: the Execution Mailbox / Partition Manager, normalized market observation store, Workflow/Rule/Indicator runtime, Allocation &amp; Risk Engine, Trade Lifecycle Manager, Replay/Simulation Engine, Strategy Repository and Regression Test Framework. The design assumes containerized services and a Google Cloud deployment such as Cloud Run with managed persistence/cache services.</w:t>
      </w:r>
    </w:p>
    <w:p>
      <w:pPr>
        <w:pStyle w:val="Heading1"/>
      </w:pPr>
      <w:r>
        <w:t>1. Operational Objectives</w:t>
      </w:r>
    </w:p>
    <w:p>
      <w:pPr>
        <w:pStyle w:val="ListBullet"/>
      </w:pPr>
      <w:r>
        <w:t>Detect market-data, evaluation, queue, risk and execution issues quickly.</w:t>
      </w:r>
    </w:p>
    <w:p>
      <w:pPr>
        <w:pStyle w:val="ListBullet"/>
      </w:pPr>
      <w:r>
        <w:t>Provide a manual operator view of service health and strategy health.</w:t>
      </w:r>
    </w:p>
    <w:p>
      <w:pPr>
        <w:pStyle w:val="ListBullet"/>
      </w:pPr>
      <w:r>
        <w:t>Trace a market observation to strategy evaluation, risk decision and trade lifecycle.</w:t>
      </w:r>
    </w:p>
    <w:p>
      <w:pPr>
        <w:pStyle w:val="ListBullet"/>
      </w:pPr>
      <w:r>
        <w:t>Support safe restart, recovery and replay without losing durable evidence.</w:t>
      </w:r>
    </w:p>
    <w:p>
      <w:pPr>
        <w:pStyle w:val="ListBullet"/>
      </w:pPr>
      <w:r>
        <w:t>Keep production operations within the planned low-cost cloud architecture where practical.</w:t>
      </w:r>
    </w:p>
    <w:p>
      <w:pPr>
        <w:pStyle w:val="ListBullet"/>
      </w:pPr>
      <w:r>
        <w:t>Separate live trading telemetry from simulation/replay telemetry.</w:t>
      </w:r>
    </w:p>
    <w:p>
      <w:pPr>
        <w:pStyle w:val="ListBullet"/>
      </w:pPr>
      <w:r>
        <w:t>Make failures diagnosable without requiring direct server access.</w:t>
      </w:r>
    </w:p>
    <w:p>
      <w:pPr>
        <w:pStyle w:val="Heading1"/>
      </w:pPr>
      <w:r>
        <w:t>2. Observability Model</w:t>
      </w:r>
    </w:p>
    <w:p>
      <w:r>
        <w:rPr>
          <w:rFonts w:ascii="Consolas" w:hAnsi="Consolas"/>
          <w:sz w:val="16"/>
        </w:rPr>
        <w:t>┌─────────────────────┐</w:t>
        <w:br/>
        <w:t xml:space="preserve">                     │ Operator Web Console │</w:t>
        <w:br/>
        <w:t xml:space="preserve">                     └──────────┬──────────┘</w:t>
        <w:br/>
        <w:t xml:space="preserve">                                │</w:t>
        <w:br/>
        <w:t xml:space="preserve">       ┌────────────────────────┼────────────────────────┐</w:t>
        <w:br/>
        <w:t xml:space="preserve">       ▼                        ▼                        ▼</w:t>
        <w:br/>
        <w:t xml:space="preserve">     Metrics                  Logs                    Traces</w:t>
        <w:br/>
        <w:t xml:space="preserve">       │                        │                        │</w:t>
        <w:br/>
        <w:t xml:space="preserve">       └────────────────────────┼────────────────────────┘</w:t>
        <w:br/>
        <w:t xml:space="preserve">                                ▼</w:t>
        <w:br/>
        <w:t xml:space="preserve">                         Observability Layer</w:t>
        <w:br/>
        <w:t xml:space="preserve">                                │</w:t>
        <w:br/>
        <w:t xml:space="preserve">          ┌─────────────────────┼─────────────────────┐</w:t>
        <w:br/>
        <w:t xml:space="preserve">          ▼                     ▼                     ▼</w:t>
        <w:br/>
        <w:t xml:space="preserve">   Service Health        Strategy Health       Trade Health</w:t>
        <w:br/>
        <w:t xml:space="preserve">          │                     │                     │</w:t>
        <w:br/>
        <w:t xml:space="preserve">          └─────────────────────┼─────────────────────┘</w:t>
        <w:br/>
        <w:t xml:space="preserve">                                ▼</w:t>
        <w:br/>
        <w:t xml:space="preserve">                         Alerts / Incidents</w:t>
      </w:r>
    </w:p>
    <w:p>
      <w:pPr>
        <w:pStyle w:val="Heading1"/>
      </w:pPr>
      <w:r>
        <w:t>3. Four Operational Dimensions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Dimension</w:t>
            </w:r>
          </w:p>
        </w:tc>
        <w:tc>
          <w:tcPr>
            <w:tcW w:type="dxa" w:w="5040"/>
          </w:tcPr>
          <w:p>
            <w:r>
              <w:t>Answers</w:t>
            </w:r>
          </w:p>
        </w:tc>
      </w:tr>
      <w:tr>
        <w:tc>
          <w:tcPr>
            <w:tcW w:type="dxa" w:w="5040"/>
          </w:tcPr>
          <w:p>
            <w:r>
              <w:t>Infrastructure</w:t>
            </w:r>
          </w:p>
        </w:tc>
        <w:tc>
          <w:tcPr>
            <w:tcW w:type="dxa" w:w="5040"/>
          </w:tcPr>
          <w:p>
            <w:r>
              <w:t>Are containers, database, cache and network dependencies healthy?</w:t>
            </w:r>
          </w:p>
        </w:tc>
      </w:tr>
      <w:tr>
        <w:tc>
          <w:tcPr>
            <w:tcW w:type="dxa" w:w="5040"/>
          </w:tcPr>
          <w:p>
            <w:r>
              <w:t>Pipeline</w:t>
            </w:r>
          </w:p>
        </w:tc>
        <w:tc>
          <w:tcPr>
            <w:tcW w:type="dxa" w:w="5040"/>
          </w:tcPr>
          <w:p>
            <w:r>
              <w:t>Are observations arriving, queued and evaluated within expected latency?</w:t>
            </w:r>
          </w:p>
        </w:tc>
      </w:tr>
      <w:tr>
        <w:tc>
          <w:tcPr>
            <w:tcW w:type="dxa" w:w="5040"/>
          </w:tcPr>
          <w:p>
            <w:r>
              <w:t>Strategy</w:t>
            </w:r>
          </w:p>
        </w:tc>
        <w:tc>
          <w:tcPr>
            <w:tcW w:type="dxa" w:w="5040"/>
          </w:tcPr>
          <w:p>
            <w:r>
              <w:t>Are workflows/indicators/rules progressing as expected?</w:t>
            </w:r>
          </w:p>
        </w:tc>
      </w:tr>
      <w:tr>
        <w:tc>
          <w:tcPr>
            <w:tcW w:type="dxa" w:w="5040"/>
          </w:tcPr>
          <w:p>
            <w:r>
              <w:t>Trading</w:t>
            </w:r>
          </w:p>
        </w:tc>
        <w:tc>
          <w:tcPr>
            <w:tcW w:type="dxa" w:w="5040"/>
          </w:tcPr>
          <w:p>
            <w:r>
              <w:t>Are allocation/risk decisions, orders, fills and positions progressing correctly?</w:t>
            </w:r>
          </w:p>
        </w:tc>
      </w:tr>
    </w:tbl>
    <w:p>
      <w:pPr>
        <w:pStyle w:val="Heading1"/>
      </w:pPr>
      <w:r>
        <w:t>4. Service Health Model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State</w:t>
            </w:r>
          </w:p>
        </w:tc>
        <w:tc>
          <w:tcPr>
            <w:tcW w:type="dxa" w:w="5040"/>
          </w:tcPr>
          <w:p>
            <w:r>
              <w:t>Meaning</w:t>
            </w:r>
          </w:p>
        </w:tc>
      </w:tr>
      <w:tr>
        <w:tc>
          <w:tcPr>
            <w:tcW w:type="dxa" w:w="5040"/>
          </w:tcPr>
          <w:p>
            <w:r>
              <w:t>HEALTHY</w:t>
            </w:r>
          </w:p>
        </w:tc>
        <w:tc>
          <w:tcPr>
            <w:tcW w:type="dxa" w:w="5040"/>
          </w:tcPr>
          <w:p>
            <w:r>
              <w:t>Dependencies available and key metrics within thresholds</w:t>
            </w:r>
          </w:p>
        </w:tc>
      </w:tr>
      <w:tr>
        <w:tc>
          <w:tcPr>
            <w:tcW w:type="dxa" w:w="5040"/>
          </w:tcPr>
          <w:p>
            <w:r>
              <w:t>DEGRADED</w:t>
            </w:r>
          </w:p>
        </w:tc>
        <w:tc>
          <w:tcPr>
            <w:tcW w:type="dxa" w:w="5040"/>
          </w:tcPr>
          <w:p>
            <w:r>
              <w:t>Service available but one or more non-critical indicators are impaired</w:t>
            </w:r>
          </w:p>
        </w:tc>
      </w:tr>
      <w:tr>
        <w:tc>
          <w:tcPr>
            <w:tcW w:type="dxa" w:w="5040"/>
          </w:tcPr>
          <w:p>
            <w:r>
              <w:t>UNHEALTHY</w:t>
            </w:r>
          </w:p>
        </w:tc>
        <w:tc>
          <w:tcPr>
            <w:tcW w:type="dxa" w:w="5040"/>
          </w:tcPr>
          <w:p>
            <w:r>
              <w:t>Service cannot safely perform its responsibility</w:t>
            </w:r>
          </w:p>
        </w:tc>
      </w:tr>
      <w:tr>
        <w:tc>
          <w:tcPr>
            <w:tcW w:type="dxa" w:w="5040"/>
          </w:tcPr>
          <w:p>
            <w:r>
              <w:t>DRAINING</w:t>
            </w:r>
          </w:p>
        </w:tc>
        <w:tc>
          <w:tcPr>
            <w:tcW w:type="dxa" w:w="5040"/>
          </w:tcPr>
          <w:p>
            <w:r>
              <w:t>No new work accepted; existing work being completed</w:t>
            </w:r>
          </w:p>
        </w:tc>
      </w:tr>
      <w:tr>
        <w:tc>
          <w:tcPr>
            <w:tcW w:type="dxa" w:w="5040"/>
          </w:tcPr>
          <w:p>
            <w:r>
              <w:t>RECOVERING</w:t>
            </w:r>
          </w:p>
        </w:tc>
        <w:tc>
          <w:tcPr>
            <w:tcW w:type="dxa" w:w="5040"/>
          </w:tcPr>
          <w:p>
            <w:r>
              <w:t>Restarted/recovering state</w:t>
            </w:r>
          </w:p>
        </w:tc>
      </w:tr>
      <w:tr>
        <w:tc>
          <w:tcPr>
            <w:tcW w:type="dxa" w:w="5040"/>
          </w:tcPr>
          <w:p>
            <w:r>
              <w:t>DISABLED</w:t>
            </w:r>
          </w:p>
        </w:tc>
        <w:tc>
          <w:tcPr>
            <w:tcW w:type="dxa" w:w="5040"/>
          </w:tcPr>
          <w:p>
            <w:r>
              <w:t>Intentionally stopped by operator/configuration</w:t>
            </w:r>
          </w:p>
        </w:tc>
      </w:tr>
    </w:tbl>
    <w:p>
      <w:r>
        <w:t>Health endpoints should distinguish liveness from readiness. Readiness determines whether a container should receive work; liveness determines whether the process should be restarted.</w:t>
      </w:r>
    </w:p>
    <w:p>
      <w:pPr>
        <w:pStyle w:val="Heading1"/>
      </w:pPr>
      <w:r>
        <w:t>5. Cloud Run Operational Model</w:t>
      </w:r>
    </w:p>
    <w:p>
      <w:r>
        <w:t>Containerized stateless API/runtime services are suitable for Cloud Run where their lifecycle and scaling characteristics fit the workload. Stateful business state remains in managed persistence services.</w:t>
      </w:r>
    </w:p>
    <w:p>
      <w:pPr>
        <w:pStyle w:val="ListBullet"/>
      </w:pPr>
      <w:r>
        <w:t>Keep durable strategy, risk, trade and audit state outside the container filesystem.</w:t>
      </w:r>
    </w:p>
    <w:p>
      <w:pPr>
        <w:pStyle w:val="ListBullet"/>
      </w:pPr>
      <w:r>
        <w:t>Use minimum instances selectively for latency-sensitive market-hour services if the cost cap permits.</w:t>
      </w:r>
    </w:p>
    <w:p>
      <w:pPr>
        <w:pStyle w:val="ListBullet"/>
      </w:pPr>
      <w:r>
        <w:t>Use concurrency settings appropriate to each service; stateful EvaluationKey processing remains serialized by the mailbox architecture rather than by container affinity.</w:t>
      </w:r>
    </w:p>
    <w:p>
      <w:pPr>
        <w:pStyle w:val="ListBullet"/>
      </w:pPr>
      <w:r>
        <w:t>Use graceful shutdown/draining so workers stop accepting new work and finish/recover in-flight work safely.</w:t>
      </w:r>
    </w:p>
    <w:p>
      <w:pPr>
        <w:pStyle w:val="ListBullet"/>
      </w:pPr>
      <w:r>
        <w:t>Use deployment revisions for controlled rollout and rollback.</w:t>
      </w:r>
    </w:p>
    <w:p>
      <w:pPr>
        <w:pStyle w:val="Heading1"/>
      </w:pPr>
      <w:r>
        <w:t>6. Core Operational Dashboards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Dashboard</w:t>
            </w:r>
          </w:p>
        </w:tc>
        <w:tc>
          <w:tcPr>
            <w:tcW w:type="dxa" w:w="5040"/>
          </w:tcPr>
          <w:p>
            <w:r>
              <w:t>Primary Panels</w:t>
            </w:r>
          </w:p>
        </w:tc>
      </w:tr>
      <w:tr>
        <w:tc>
          <w:tcPr>
            <w:tcW w:type="dxa" w:w="5040"/>
          </w:tcPr>
          <w:p>
            <w:r>
              <w:t>Platform Overview</w:t>
            </w:r>
          </w:p>
        </w:tc>
        <w:tc>
          <w:tcPr>
            <w:tcW w:type="dxa" w:w="5040"/>
          </w:tcPr>
          <w:p>
            <w:r>
              <w:t>Service health, error rate, CPU/memory, request latency</w:t>
            </w:r>
          </w:p>
        </w:tc>
      </w:tr>
      <w:tr>
        <w:tc>
          <w:tcPr>
            <w:tcW w:type="dxa" w:w="5040"/>
          </w:tcPr>
          <w:p>
            <w:r>
              <w:t>Market Data</w:t>
            </w:r>
          </w:p>
        </w:tc>
        <w:tc>
          <w:tcPr>
            <w:tcW w:type="dxa" w:w="5040"/>
          </w:tcPr>
          <w:p>
            <w:r>
              <w:t>Ticks/sec, observation persistence, gaps, stale observations</w:t>
            </w:r>
          </w:p>
        </w:tc>
      </w:tr>
      <w:tr>
        <w:tc>
          <w:tcPr>
            <w:tcW w:type="dxa" w:w="5040"/>
          </w:tcPr>
          <w:p>
            <w:r>
              <w:t>Mailbox</w:t>
            </w:r>
          </w:p>
        </w:tc>
        <w:tc>
          <w:tcPr>
            <w:tcW w:type="dxa" w:w="5040"/>
          </w:tcPr>
          <w:p>
            <w:r>
              <w:t>Queue depth, oldest event age, active partitions, backlog</w:t>
            </w:r>
          </w:p>
        </w:tc>
      </w:tr>
      <w:tr>
        <w:tc>
          <w:tcPr>
            <w:tcW w:type="dxa" w:w="5040"/>
          </w:tcPr>
          <w:p>
            <w:r>
              <w:t>Strategy Runtime</w:t>
            </w:r>
          </w:p>
        </w:tc>
        <w:tc>
          <w:tcPr>
            <w:tcW w:type="dxa" w:w="5040"/>
          </w:tcPr>
          <w:p>
            <w:r>
              <w:t>Active executions, evaluation latency, failures, rule outcomes</w:t>
            </w:r>
          </w:p>
        </w:tc>
      </w:tr>
      <w:tr>
        <w:tc>
          <w:tcPr>
            <w:tcW w:type="dxa" w:w="5040"/>
          </w:tcPr>
          <w:p>
            <w:r>
              <w:t>Indicator</w:t>
            </w:r>
          </w:p>
        </w:tc>
        <w:tc>
          <w:tcPr>
            <w:tcW w:type="dxa" w:w="5040"/>
          </w:tcPr>
          <w:p>
            <w:r>
              <w:t>Readiness, calculation latency, degraded indicators</w:t>
            </w:r>
          </w:p>
        </w:tc>
      </w:tr>
      <w:tr>
        <w:tc>
          <w:tcPr>
            <w:tcW w:type="dxa" w:w="5040"/>
          </w:tcPr>
          <w:p>
            <w:r>
              <w:t>Risk</w:t>
            </w:r>
          </w:p>
        </w:tc>
        <w:tc>
          <w:tcPr>
            <w:tcW w:type="dxa" w:w="5040"/>
          </w:tcPr>
          <w:p>
            <w:r>
              <w:t>Approvals, resizes, rejections, reservation contention</w:t>
            </w:r>
          </w:p>
        </w:tc>
      </w:tr>
      <w:tr>
        <w:tc>
          <w:tcPr>
            <w:tcW w:type="dxa" w:w="5040"/>
          </w:tcPr>
          <w:p>
            <w:r>
              <w:t>Trade</w:t>
            </w:r>
          </w:p>
        </w:tc>
        <w:tc>
          <w:tcPr>
            <w:tcW w:type="dxa" w:w="5040"/>
          </w:tcPr>
          <w:p>
            <w:r>
              <w:t>Lifecycle states, submissions, fills, reconciliation</w:t>
            </w:r>
          </w:p>
        </w:tc>
      </w:tr>
      <w:tr>
        <w:tc>
          <w:tcPr>
            <w:tcW w:type="dxa" w:w="5040"/>
          </w:tcPr>
          <w:p>
            <w:r>
              <w:t>Replay/Regression</w:t>
            </w:r>
          </w:p>
        </w:tc>
        <w:tc>
          <w:tcPr>
            <w:tcW w:type="dxa" w:w="5040"/>
          </w:tcPr>
          <w:p>
            <w:r>
              <w:t>Runs, throughput, failures, first divergence</w:t>
            </w:r>
          </w:p>
        </w:tc>
      </w:tr>
      <w:tr>
        <w:tc>
          <w:tcPr>
            <w:tcW w:type="dxa" w:w="5040"/>
          </w:tcPr>
          <w:p>
            <w:r>
              <w:t>Cost</w:t>
            </w:r>
          </w:p>
        </w:tc>
        <w:tc>
          <w:tcPr>
            <w:tcW w:type="dxa" w:w="5040"/>
          </w:tcPr>
          <w:p>
            <w:r>
              <w:t>Cloud service usage, log volume, AI explanation usage/cost</w:t>
            </w:r>
          </w:p>
        </w:tc>
      </w:tr>
    </w:tbl>
    <w:p>
      <w:pPr>
        <w:pStyle w:val="Heading1"/>
      </w:pPr>
      <w:r>
        <w:t>7. Key Metrics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Metric</w:t>
            </w:r>
          </w:p>
        </w:tc>
        <w:tc>
          <w:tcPr>
            <w:tcW w:type="dxa" w:w="5040"/>
          </w:tcPr>
          <w:p>
            <w:r>
              <w:t>Recommended Dimensions</w:t>
            </w:r>
          </w:p>
        </w:tc>
      </w:tr>
      <w:tr>
        <w:tc>
          <w:tcPr>
            <w:tcW w:type="dxa" w:w="5040"/>
          </w:tcPr>
          <w:p>
            <w:r>
              <w:t>market_observation_total</w:t>
            </w:r>
          </w:p>
        </w:tc>
        <w:tc>
          <w:tcPr>
            <w:tcW w:type="dxa" w:w="5040"/>
          </w:tcPr>
          <w:p>
            <w:r>
              <w:t>instrument, source</w:t>
            </w:r>
          </w:p>
        </w:tc>
      </w:tr>
      <w:tr>
        <w:tc>
          <w:tcPr>
            <w:tcW w:type="dxa" w:w="5040"/>
          </w:tcPr>
          <w:p>
            <w:r>
              <w:t>market_observation_persistence_latency</w:t>
            </w:r>
          </w:p>
        </w:tc>
        <w:tc>
          <w:tcPr>
            <w:tcW w:type="dxa" w:w="5040"/>
          </w:tcPr>
          <w:p>
            <w:r>
              <w:t>service</w:t>
            </w:r>
          </w:p>
        </w:tc>
      </w:tr>
      <w:tr>
        <w:tc>
          <w:tcPr>
            <w:tcW w:type="dxa" w:w="5040"/>
          </w:tcPr>
          <w:p>
            <w:r>
              <w:t>market_observation_gap_total</w:t>
            </w:r>
          </w:p>
        </w:tc>
        <w:tc>
          <w:tcPr>
            <w:tcW w:type="dxa" w:w="5040"/>
          </w:tcPr>
          <w:p>
            <w:r>
              <w:t>instrument</w:t>
            </w:r>
          </w:p>
        </w:tc>
      </w:tr>
      <w:tr>
        <w:tc>
          <w:tcPr>
            <w:tcW w:type="dxa" w:w="5040"/>
          </w:tcPr>
          <w:p>
            <w:r>
              <w:t>evaluation_total</w:t>
            </w:r>
          </w:p>
        </w:tc>
        <w:tc>
          <w:tcPr>
            <w:tcW w:type="dxa" w:w="5040"/>
          </w:tcPr>
          <w:p>
            <w:r>
              <w:t>strategyExecutionId, outcome</w:t>
            </w:r>
          </w:p>
        </w:tc>
      </w:tr>
      <w:tr>
        <w:tc>
          <w:tcPr>
            <w:tcW w:type="dxa" w:w="5040"/>
          </w:tcPr>
          <w:p>
            <w:r>
              <w:t>evaluation_duration</w:t>
            </w:r>
          </w:p>
        </w:tc>
        <w:tc>
          <w:tcPr>
            <w:tcW w:type="dxa" w:w="5040"/>
          </w:tcPr>
          <w:p>
            <w:r>
              <w:t>strategy, instrument</w:t>
            </w:r>
          </w:p>
        </w:tc>
      </w:tr>
      <w:tr>
        <w:tc>
          <w:tcPr>
            <w:tcW w:type="dxa" w:w="5040"/>
          </w:tcPr>
          <w:p>
            <w:r>
              <w:t>mailbox_queue_depth</w:t>
            </w:r>
          </w:p>
        </w:tc>
        <w:tc>
          <w:tcPr>
            <w:tcW w:type="dxa" w:w="5040"/>
          </w:tcPr>
          <w:p>
            <w:r>
              <w:t>partition/EvaluationKey</w:t>
            </w:r>
          </w:p>
        </w:tc>
      </w:tr>
      <w:tr>
        <w:tc>
          <w:tcPr>
            <w:tcW w:type="dxa" w:w="5040"/>
          </w:tcPr>
          <w:p>
            <w:r>
              <w:t>mailbox_oldest_event_age</w:t>
            </w:r>
          </w:p>
        </w:tc>
        <w:tc>
          <w:tcPr>
            <w:tcW w:type="dxa" w:w="5040"/>
          </w:tcPr>
          <w:p>
            <w:r>
              <w:t>partition</w:t>
            </w:r>
          </w:p>
        </w:tc>
      </w:tr>
      <w:tr>
        <w:tc>
          <w:tcPr>
            <w:tcW w:type="dxa" w:w="5040"/>
          </w:tcPr>
          <w:p>
            <w:r>
              <w:t>same_key_concurrency_violation_total</w:t>
            </w:r>
          </w:p>
        </w:tc>
        <w:tc>
          <w:tcPr>
            <w:tcW w:type="dxa" w:w="5040"/>
          </w:tcPr>
          <w:p>
            <w:r>
              <w:t>service</w:t>
            </w:r>
          </w:p>
        </w:tc>
      </w:tr>
      <w:tr>
        <w:tc>
          <w:tcPr>
            <w:tcW w:type="dxa" w:w="5040"/>
          </w:tcPr>
          <w:p>
            <w:r>
              <w:t>indicator_ready_total</w:t>
            </w:r>
          </w:p>
        </w:tc>
        <w:tc>
          <w:tcPr>
            <w:tcW w:type="dxa" w:w="5040"/>
          </w:tcPr>
          <w:p>
            <w:r>
              <w:t>indicator</w:t>
            </w:r>
          </w:p>
        </w:tc>
      </w:tr>
      <w:tr>
        <w:tc>
          <w:tcPr>
            <w:tcW w:type="dxa" w:w="5040"/>
          </w:tcPr>
          <w:p>
            <w:r>
              <w:t>rule_outcome_total</w:t>
            </w:r>
          </w:p>
        </w:tc>
        <w:tc>
          <w:tcPr>
            <w:tcW w:type="dxa" w:w="5040"/>
          </w:tcPr>
          <w:p>
            <w:r>
              <w:t>strategy, rule</w:t>
            </w:r>
          </w:p>
        </w:tc>
      </w:tr>
      <w:tr>
        <w:tc>
          <w:tcPr>
            <w:tcW w:type="dxa" w:w="5040"/>
          </w:tcPr>
          <w:p>
            <w:r>
              <w:t>candidate_intent_total</w:t>
            </w:r>
          </w:p>
        </w:tc>
        <w:tc>
          <w:tcPr>
            <w:tcW w:type="dxa" w:w="5040"/>
          </w:tcPr>
          <w:p>
            <w:r>
              <w:t>strategy, instrument</w:t>
            </w:r>
          </w:p>
        </w:tc>
      </w:tr>
      <w:tr>
        <w:tc>
          <w:tcPr>
            <w:tcW w:type="dxa" w:w="5040"/>
          </w:tcPr>
          <w:p>
            <w:r>
              <w:t>risk_decision_total</w:t>
            </w:r>
          </w:p>
        </w:tc>
        <w:tc>
          <w:tcPr>
            <w:tcW w:type="dxa" w:w="5040"/>
          </w:tcPr>
          <w:p>
            <w:r>
              <w:t>status, reason</w:t>
            </w:r>
          </w:p>
        </w:tc>
      </w:tr>
      <w:tr>
        <w:tc>
          <w:tcPr>
            <w:tcW w:type="dxa" w:w="5040"/>
          </w:tcPr>
          <w:p>
            <w:r>
              <w:t>reservation_conflict_total</w:t>
            </w:r>
          </w:p>
        </w:tc>
        <w:tc>
          <w:tcPr>
            <w:tcW w:type="dxa" w:w="5040"/>
          </w:tcPr>
          <w:p>
            <w:r>
              <w:t>scope</w:t>
            </w:r>
          </w:p>
        </w:tc>
      </w:tr>
      <w:tr>
        <w:tc>
          <w:tcPr>
            <w:tcW w:type="dxa" w:w="5040"/>
          </w:tcPr>
          <w:p>
            <w:r>
              <w:t>trade_transition_total</w:t>
            </w:r>
          </w:p>
        </w:tc>
        <w:tc>
          <w:tcPr>
            <w:tcW w:type="dxa" w:w="5040"/>
          </w:tcPr>
          <w:p>
            <w:r>
              <w:t>state</w:t>
            </w:r>
          </w:p>
        </w:tc>
      </w:tr>
      <w:tr>
        <w:tc>
          <w:tcPr>
            <w:tcW w:type="dxa" w:w="5040"/>
          </w:tcPr>
          <w:p>
            <w:r>
              <w:t>execution_update_lag</w:t>
            </w:r>
          </w:p>
        </w:tc>
        <w:tc>
          <w:tcPr>
            <w:tcW w:type="dxa" w:w="5040"/>
          </w:tcPr>
          <w:p>
            <w:r>
              <w:t>broker/external source</w:t>
            </w:r>
          </w:p>
        </w:tc>
      </w:tr>
      <w:tr>
        <w:tc>
          <w:tcPr>
            <w:tcW w:type="dxa" w:w="5040"/>
          </w:tcPr>
          <w:p>
            <w:r>
              <w:t>reconciliation_pending_total</w:t>
            </w:r>
          </w:p>
        </w:tc>
        <w:tc>
          <w:tcPr>
            <w:tcW w:type="dxa" w:w="5040"/>
          </w:tcPr>
          <w:p>
            <w:r>
              <w:t>age bucket</w:t>
            </w:r>
          </w:p>
        </w:tc>
      </w:tr>
      <w:tr>
        <w:tc>
          <w:tcPr>
            <w:tcW w:type="dxa" w:w="5040"/>
          </w:tcPr>
          <w:p>
            <w:r>
              <w:t>replay_throughput</w:t>
            </w:r>
          </w:p>
        </w:tc>
        <w:tc>
          <w:tcPr>
            <w:tcW w:type="dxa" w:w="5040"/>
          </w:tcPr>
          <w:p>
            <w:r>
              <w:t>run</w:t>
            </w:r>
          </w:p>
        </w:tc>
      </w:tr>
      <w:tr>
        <w:tc>
          <w:tcPr>
            <w:tcW w:type="dxa" w:w="5040"/>
          </w:tcPr>
          <w:p>
            <w:r>
              <w:t>regression_failure_total</w:t>
            </w:r>
          </w:p>
        </w:tc>
        <w:tc>
          <w:tcPr>
            <w:tcW w:type="dxa" w:w="5040"/>
          </w:tcPr>
          <w:p>
            <w:r>
              <w:t>scenario</w:t>
            </w:r>
          </w:p>
        </w:tc>
      </w:tr>
    </w:tbl>
    <w:p>
      <w:pPr>
        <w:pStyle w:val="Heading1"/>
      </w:pPr>
      <w:r>
        <w:t>8. Queue and Mailbox Monitoring</w:t>
      </w:r>
    </w:p>
    <w:p>
      <w:r>
        <w:t>Mailbox health is one of the most important operational signals because a healthy broker connection does not guarantee that strategies are evaluating market data fast enough.</w:t>
      </w:r>
    </w:p>
    <w:p>
      <w:r>
        <w:rPr>
          <w:rFonts w:ascii="Consolas" w:hAnsi="Consolas"/>
          <w:sz w:val="16"/>
        </w:rPr>
        <w:t>Healthy:</w:t>
        <w:br/>
        <w:t xml:space="preserve">  producer rate ≈ consumer rate</w:t>
        <w:br/>
        <w:t xml:space="preserve">  queue depth bounded</w:t>
        <w:br/>
        <w:t xml:space="preserve">  oldest-event age low</w:t>
        <w:br/>
        <w:br/>
        <w:t>Pressure:</w:t>
        <w:br/>
        <w:t xml:space="preserve">  producer rate &gt; consumer rate</w:t>
        <w:br/>
        <w:t xml:space="preserve">  queue depth rising</w:t>
        <w:br/>
        <w:t xml:space="preserve">  oldest-event age rising</w:t>
        <w:br/>
        <w:br/>
        <w:t>Critical:</w:t>
        <w:br/>
        <w:t xml:space="preserve">  backlog exceeds policy</w:t>
        <w:br/>
        <w:t xml:space="preserve">  oldest-event age exceeds strategy tolerance</w:t>
        <w:br/>
        <w:t xml:space="preserve">  coalescing/overflow policy activated</w:t>
      </w:r>
    </w:p>
    <w:p>
      <w:pPr>
        <w:pStyle w:val="ListBullet"/>
      </w:pPr>
      <w:r>
        <w:t>Alert on sustained queue-depth growth, not only absolute depth.</w:t>
      </w:r>
    </w:p>
    <w:p>
      <w:pPr>
        <w:pStyle w:val="ListBullet"/>
      </w:pPr>
      <w:r>
        <w:t>Alert on oldest-event age because a small queue can still contain stale observations.</w:t>
      </w:r>
    </w:p>
    <w:p>
      <w:pPr>
        <w:pStyle w:val="ListBullet"/>
      </w:pPr>
      <w:r>
        <w:t>Track per-key hotspots to identify one slow strategy/instrument.</w:t>
      </w:r>
    </w:p>
    <w:p>
      <w:pPr>
        <w:pStyle w:val="ListBullet"/>
      </w:pPr>
      <w:r>
        <w:t>Track partition imbalance to identify uneven workload distribution.</w:t>
      </w:r>
    </w:p>
    <w:p>
      <w:pPr>
        <w:pStyle w:val="Heading1"/>
      </w:pPr>
      <w:r>
        <w:t>9. Evaluation Latency</w:t>
      </w:r>
    </w:p>
    <w:p>
      <w:r>
        <w:t>Evaluation latency must be measured separately from market-data ingestion latency. The key operational question is whether an observation can be evaluated before it becomes operationally stale for the strategy.</w:t>
      </w:r>
    </w:p>
    <w:p>
      <w:r>
        <w:rPr>
          <w:rFonts w:ascii="Consolas" w:hAnsi="Consolas"/>
          <w:sz w:val="16"/>
        </w:rPr>
        <w:t>eventTime → receivedAt → queuedAt → evaluationStart → evaluationEnd</w:t>
        <w:br/>
        <w:t xml:space="preserve">    │            │            │              │</w:t>
        <w:br/>
        <w:t xml:space="preserve">    └─ source ───┴────────────┴──────────────┴─ operational timeline</w:t>
      </w:r>
    </w:p>
    <w:p>
      <w:r>
        <w:t>Do not use wall-clock latency as a substitute for market-event semantics in replay; production monitoring can use wall-clock duration while replay uses virtual event time.</w:t>
      </w:r>
    </w:p>
    <w:p>
      <w:pPr>
        <w:pStyle w:val="Heading1"/>
      </w:pPr>
      <w:r>
        <w:t>10. Normalized Observation Monitoring</w:t>
      </w:r>
    </w:p>
    <w:p>
      <w:pPr>
        <w:pStyle w:val="ListBullet"/>
      </w:pPr>
      <w:r>
        <w:t>Count every normalized observation persisted, including those producing no candidate trade.</w:t>
      </w:r>
    </w:p>
    <w:p>
      <w:pPr>
        <w:pStyle w:val="ListBullet"/>
      </w:pPr>
      <w:r>
        <w:t>Monitor persistence latency and storage failures.</w:t>
      </w:r>
    </w:p>
    <w:p>
      <w:pPr>
        <w:pStyle w:val="ListBullet"/>
      </w:pPr>
      <w:r>
        <w:t>Monitor duplicate, malformed, stale and out-of-order observations.</w:t>
      </w:r>
    </w:p>
    <w:p>
      <w:pPr>
        <w:pStyle w:val="ListBullet"/>
      </w:pPr>
      <w:r>
        <w:t>Monitor per-instrument gaps and source disconnects.</w:t>
      </w:r>
    </w:p>
    <w:p>
      <w:pPr>
        <w:pStyle w:val="ListBullet"/>
      </w:pPr>
      <w:r>
        <w:t>Retain observation identifiers and sequence information for drill-down.</w:t>
      </w:r>
    </w:p>
    <w:p>
      <w:pPr>
        <w:pStyle w:val="ListBullet"/>
      </w:pPr>
      <w:r>
        <w:t>Monitor retention/storage growth independently from trade volume.</w:t>
      </w:r>
    </w:p>
    <w:p>
      <w:pPr>
        <w:pStyle w:val="Heading1"/>
      </w:pPr>
      <w:r>
        <w:t>11. Strategy Health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Signal</w:t>
            </w:r>
          </w:p>
        </w:tc>
        <w:tc>
          <w:tcPr>
            <w:tcW w:type="dxa" w:w="5040"/>
          </w:tcPr>
          <w:p>
            <w:r>
              <w:t>Operational Interpretation</w:t>
            </w:r>
          </w:p>
        </w:tc>
      </w:tr>
      <w:tr>
        <w:tc>
          <w:tcPr>
            <w:tcW w:type="dxa" w:w="5040"/>
          </w:tcPr>
          <w:p>
            <w:r>
              <w:t>No observations for active execution</w:t>
            </w:r>
          </w:p>
        </w:tc>
        <w:tc>
          <w:tcPr>
            <w:tcW w:type="dxa" w:w="5040"/>
          </w:tcPr>
          <w:p>
            <w:r>
              <w:t>Possible market-data/subscription/configuration issue</w:t>
            </w:r>
          </w:p>
        </w:tc>
      </w:tr>
      <w:tr>
        <w:tc>
          <w:tcPr>
            <w:tcW w:type="dxa" w:w="5040"/>
          </w:tcPr>
          <w:p>
            <w:r>
              <w:t>High FALSE rate</w:t>
            </w:r>
          </w:p>
        </w:tc>
        <w:tc>
          <w:tcPr>
            <w:tcW w:type="dxa" w:w="5040"/>
          </w:tcPr>
          <w:p>
            <w:r>
              <w:t>May be normal; compare with expected strategy behavior</w:t>
            </w:r>
          </w:p>
        </w:tc>
      </w:tr>
      <w:tr>
        <w:tc>
          <w:tcPr>
            <w:tcW w:type="dxa" w:w="5040"/>
          </w:tcPr>
          <w:p>
            <w:r>
              <w:t>Unexpected TRUE spike</w:t>
            </w:r>
          </w:p>
        </w:tc>
        <w:tc>
          <w:tcPr>
            <w:tcW w:type="dxa" w:w="5040"/>
          </w:tcPr>
          <w:p>
            <w:r>
              <w:t>Potential strategy/configuration/data issue</w:t>
            </w:r>
          </w:p>
        </w:tc>
      </w:tr>
      <w:tr>
        <w:tc>
          <w:tcPr>
            <w:tcW w:type="dxa" w:w="5040"/>
          </w:tcPr>
          <w:p>
            <w:r>
              <w:t>Indicator stuck WARMING_UP</w:t>
            </w:r>
          </w:p>
        </w:tc>
        <w:tc>
          <w:tcPr>
            <w:tcW w:type="dxa" w:w="5040"/>
          </w:tcPr>
          <w:p>
            <w:r>
              <w:t>Missing history or state reset problem</w:t>
            </w:r>
          </w:p>
        </w:tc>
      </w:tr>
      <w:tr>
        <w:tc>
          <w:tcPr>
            <w:tcW w:type="dxa" w:w="5040"/>
          </w:tcPr>
          <w:p>
            <w:r>
              <w:t>Repeated evaluation failure</w:t>
            </w:r>
          </w:p>
        </w:tc>
        <w:tc>
          <w:tcPr>
            <w:tcW w:type="dxa" w:w="5040"/>
          </w:tcPr>
          <w:p>
            <w:r>
              <w:t>Runtime/DSL/indicator problem</w:t>
            </w:r>
          </w:p>
        </w:tc>
      </w:tr>
      <w:tr>
        <w:tc>
          <w:tcPr>
            <w:tcW w:type="dxa" w:w="5040"/>
          </w:tcPr>
          <w:p>
            <w:r>
              <w:t>High candidate rejection rate</w:t>
            </w:r>
          </w:p>
        </w:tc>
        <w:tc>
          <w:tcPr>
            <w:tcW w:type="dxa" w:w="5040"/>
          </w:tcPr>
          <w:p>
            <w:r>
              <w:t>Risk/allocation configuration or market condition</w:t>
            </w:r>
          </w:p>
        </w:tc>
      </w:tr>
      <w:tr>
        <w:tc>
          <w:tcPr>
            <w:tcW w:type="dxa" w:w="5040"/>
          </w:tcPr>
          <w:p>
            <w:r>
              <w:t>Mailbox hotspot</w:t>
            </w:r>
          </w:p>
        </w:tc>
        <w:tc>
          <w:tcPr>
            <w:tcW w:type="dxa" w:w="5040"/>
          </w:tcPr>
          <w:p>
            <w:r>
              <w:t>Slow strategy execution or expensive indicator/rule path</w:t>
            </w:r>
          </w:p>
        </w:tc>
      </w:tr>
    </w:tbl>
    <w:p>
      <w:pPr>
        <w:pStyle w:val="Heading1"/>
      </w:pPr>
      <w:r>
        <w:t>12. Trade Health</w:t>
      </w:r>
    </w:p>
    <w:p>
      <w:pPr>
        <w:pStyle w:val="ListBullet"/>
      </w:pPr>
      <w:r>
        <w:t>Track time spent in each lifecycle state.</w:t>
      </w:r>
    </w:p>
    <w:p>
      <w:pPr>
        <w:pStyle w:val="ListBullet"/>
      </w:pPr>
      <w:r>
        <w:t>Alert on orders remaining SUBMITTED/ACKNOWLEDGED beyond expected broker SLA.</w:t>
      </w:r>
    </w:p>
    <w:p>
      <w:pPr>
        <w:pStyle w:val="ListBullet"/>
      </w:pPr>
      <w:r>
        <w:t>Track partial fills and aged partially filled trades.</w:t>
      </w:r>
    </w:p>
    <w:p>
      <w:pPr>
        <w:pStyle w:val="ListBullet"/>
      </w:pPr>
      <w:r>
        <w:t>Track reconciliation backlog and age.</w:t>
      </w:r>
    </w:p>
    <w:p>
      <w:pPr>
        <w:pStyle w:val="ListBullet"/>
      </w:pPr>
      <w:r>
        <w:t>Track rejected/failed execution updates separately from strategy risk rejections.</w:t>
      </w:r>
    </w:p>
    <w:p>
      <w:pPr>
        <w:pStyle w:val="ListBullet"/>
      </w:pPr>
      <w:r>
        <w:t>Correlate external execution ID with internal trade ID.</w:t>
      </w:r>
    </w:p>
    <w:p>
      <w:pPr>
        <w:pStyle w:val="Heading1"/>
      </w:pPr>
      <w:r>
        <w:t>13. Risk Monitoring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Signal</w:t>
            </w:r>
          </w:p>
        </w:tc>
        <w:tc>
          <w:tcPr>
            <w:tcW w:type="dxa" w:w="5040"/>
          </w:tcPr>
          <w:p>
            <w:r>
              <w:t>Action/Interpretation</w:t>
            </w:r>
          </w:p>
        </w:tc>
      </w:tr>
      <w:tr>
        <w:tc>
          <w:tcPr>
            <w:tcW w:type="dxa" w:w="5040"/>
          </w:tcPr>
          <w:p>
            <w:r>
              <w:t>Risk rejection spike</w:t>
            </w:r>
          </w:p>
        </w:tc>
        <w:tc>
          <w:tcPr>
            <w:tcW w:type="dxa" w:w="5040"/>
          </w:tcPr>
          <w:p>
            <w:r>
              <w:t>Review market conditions and configuration</w:t>
            </w:r>
          </w:p>
        </w:tc>
      </w:tr>
      <w:tr>
        <w:tc>
          <w:tcPr>
            <w:tcW w:type="dxa" w:w="5040"/>
          </w:tcPr>
          <w:p>
            <w:r>
              <w:t>Reservation conflicts</w:t>
            </w:r>
          </w:p>
        </w:tc>
        <w:tc>
          <w:tcPr>
            <w:tcW w:type="dxa" w:w="5040"/>
          </w:tcPr>
          <w:p>
            <w:r>
              <w:t>Shared budget/exposure contention</w:t>
            </w:r>
          </w:p>
        </w:tc>
      </w:tr>
      <w:tr>
        <w:tc>
          <w:tcPr>
            <w:tcW w:type="dxa" w:w="5040"/>
          </w:tcPr>
          <w:p>
            <w:r>
              <w:t>Daily loss limit breach</w:t>
            </w:r>
          </w:p>
        </w:tc>
        <w:tc>
          <w:tcPr>
            <w:tcW w:type="dxa" w:w="5040"/>
          </w:tcPr>
          <w:p>
            <w:r>
              <w:t>Potential strategy halt/notification</w:t>
            </w:r>
          </w:p>
        </w:tc>
      </w:tr>
      <w:tr>
        <w:tc>
          <w:tcPr>
            <w:tcW w:type="dxa" w:w="5040"/>
          </w:tcPr>
          <w:p>
            <w:r>
              <w:t>Stale portfolio snapshot</w:t>
            </w:r>
          </w:p>
        </w:tc>
        <w:tc>
          <w:tcPr>
            <w:tcW w:type="dxa" w:w="5040"/>
          </w:tcPr>
          <w:p>
            <w:r>
              <w:t>Fail-closed decisions may increase</w:t>
            </w:r>
          </w:p>
        </w:tc>
      </w:tr>
      <w:tr>
        <w:tc>
          <w:tcPr>
            <w:tcW w:type="dxa" w:w="5040"/>
          </w:tcPr>
          <w:p>
            <w:r>
              <w:t>Unexpected resize spike</w:t>
            </w:r>
          </w:p>
        </w:tc>
        <w:tc>
          <w:tcPr>
            <w:tcW w:type="dxa" w:w="5040"/>
          </w:tcPr>
          <w:p>
            <w:r>
              <w:t>Exposure constraints may be binding</w:t>
            </w:r>
          </w:p>
        </w:tc>
      </w:tr>
      <w:tr>
        <w:tc>
          <w:tcPr>
            <w:tcW w:type="dxa" w:w="5040"/>
          </w:tcPr>
          <w:p>
            <w:r>
              <w:t>Policy version change</w:t>
            </w:r>
          </w:p>
        </w:tc>
        <w:tc>
          <w:tcPr>
            <w:tcW w:type="dxa" w:w="5040"/>
          </w:tcPr>
          <w:p>
            <w:r>
              <w:t>Audit and deployment correlation</w:t>
            </w:r>
          </w:p>
        </w:tc>
      </w:tr>
    </w:tbl>
    <w:p>
      <w:pPr>
        <w:pStyle w:val="Heading1"/>
      </w:pPr>
      <w:r>
        <w:t>14. Logging Standard</w:t>
      </w:r>
    </w:p>
    <w:p>
      <w:r>
        <w:t>Logs should be structured JSON in production.</w:t>
      </w:r>
    </w:p>
    <w:p>
      <w:r>
        <w:rPr>
          <w:rFonts w:ascii="Consolas" w:hAnsi="Consolas"/>
          <w:sz w:val="16"/>
        </w:rPr>
        <w:t>{</w:t>
        <w:br/>
        <w:t xml:space="preserve">  "timestamp": "...",</w:t>
        <w:br/>
        <w:t xml:space="preserve">  "level": "INFO",</w:t>
        <w:br/>
        <w:t xml:space="preserve">  "service": "workflow-engine",</w:t>
        <w:br/>
        <w:t xml:space="preserve">  "event": "RULE_EVALUATION",</w:t>
        <w:br/>
        <w:t xml:space="preserve">  "correlationId": "...",</w:t>
        <w:br/>
        <w:t xml:space="preserve">  "strategyExecutionId": "...",</w:t>
        <w:br/>
        <w:t xml:space="preserve">  "instrumentId": "...",</w:t>
        <w:br/>
        <w:t xml:space="preserve">  "evaluationKey": "...",</w:t>
        <w:br/>
        <w:t xml:space="preserve">  "observationId": "...",</w:t>
        <w:br/>
        <w:t xml:space="preserve">  "strategyVersion": "...",</w:t>
        <w:br/>
        <w:t xml:space="preserve">  "planFingerprint": "...",</w:t>
        <w:br/>
        <w:t xml:space="preserve">  "status": "TRUE"</w:t>
        <w:br/>
        <w:t>}</w:t>
      </w:r>
    </w:p>
    <w:p>
      <w:pPr>
        <w:pStyle w:val="ListBullet"/>
      </w:pPr>
      <w:r>
        <w:t>Never log broker credentials, authorization headers or secrets.</w:t>
      </w:r>
    </w:p>
    <w:p>
      <w:pPr>
        <w:pStyle w:val="ListBullet"/>
      </w:pPr>
      <w:r>
        <w:t>Avoid logging entire market payloads at INFO level.</w:t>
      </w:r>
    </w:p>
    <w:p>
      <w:pPr>
        <w:pStyle w:val="ListBullet"/>
      </w:pPr>
      <w:r>
        <w:t>Use sampled DEBUG traces for detailed payload diagnostics.</w:t>
      </w:r>
    </w:p>
    <w:p>
      <w:pPr>
        <w:pStyle w:val="ListBullet"/>
      </w:pPr>
      <w:r>
        <w:t>Use stable correlation IDs to connect events across services.</w:t>
      </w:r>
    </w:p>
    <w:p>
      <w:pPr>
        <w:pStyle w:val="Heading1"/>
      </w:pPr>
      <w:r>
        <w:t>15. Trace Model</w:t>
      </w:r>
    </w:p>
    <w:p>
      <w:r>
        <w:rPr>
          <w:rFonts w:ascii="Consolas" w:hAnsi="Consolas"/>
          <w:sz w:val="16"/>
        </w:rPr>
        <w:t>Observation</w:t>
        <w:br/>
        <w:t xml:space="preserve">  └─ Dispatch</w:t>
        <w:br/>
        <w:t xml:space="preserve">      └─ Mailbox</w:t>
        <w:br/>
        <w:t xml:space="preserve">          └─ Workflow Evaluation</w:t>
        <w:br/>
        <w:t xml:space="preserve">              ├─ Indicator update</w:t>
        <w:br/>
        <w:t xml:space="preserve">              ├─ Rule evaluation</w:t>
        <w:br/>
        <w:t xml:space="preserve">              ├─ CandidateIntent</w:t>
        <w:br/>
        <w:t xml:space="preserve">              ├─ Allocation/Risk</w:t>
        <w:br/>
        <w:t xml:space="preserve">              └─ Trade Lifecycle</w:t>
        <w:br/>
        <w:t xml:space="preserve">                    └─ Execution Adapter</w:t>
      </w:r>
    </w:p>
    <w:p>
      <w:r>
        <w:t>A trace should allow an operator to move from a trade back to the triggering observation and forward again to execution status.</w:t>
      </w:r>
    </w:p>
    <w:p>
      <w:pPr>
        <w:pStyle w:val="Heading1"/>
      </w:pPr>
      <w:r>
        <w:t>16. Correlation Identity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ID</w:t>
            </w:r>
          </w:p>
        </w:tc>
        <w:tc>
          <w:tcPr>
            <w:tcW w:type="dxa" w:w="5040"/>
          </w:tcPr>
          <w:p>
            <w:r>
              <w:t>Use</w:t>
            </w:r>
          </w:p>
        </w:tc>
      </w:tr>
      <w:tr>
        <w:tc>
          <w:tcPr>
            <w:tcW w:type="dxa" w:w="5040"/>
          </w:tcPr>
          <w:p>
            <w:r>
              <w:t>observationId</w:t>
            </w:r>
          </w:p>
        </w:tc>
        <w:tc>
          <w:tcPr>
            <w:tcW w:type="dxa" w:w="5040"/>
          </w:tcPr>
          <w:p>
            <w:r>
              <w:t>One normalized market observation</w:t>
            </w:r>
          </w:p>
        </w:tc>
      </w:tr>
      <w:tr>
        <w:tc>
          <w:tcPr>
            <w:tcW w:type="dxa" w:w="5040"/>
          </w:tcPr>
          <w:p>
            <w:r>
              <w:t>evaluationKey</w:t>
            </w:r>
          </w:p>
        </w:tc>
        <w:tc>
          <w:tcPr>
            <w:tcW w:type="dxa" w:w="5040"/>
          </w:tcPr>
          <w:p>
            <w:r>
              <w:t>Serialization scope</w:t>
            </w:r>
          </w:p>
        </w:tc>
      </w:tr>
      <w:tr>
        <w:tc>
          <w:tcPr>
            <w:tcW w:type="dxa" w:w="5040"/>
          </w:tcPr>
          <w:p>
            <w:r>
              <w:t>strategyExecutionId</w:t>
            </w:r>
          </w:p>
        </w:tc>
        <w:tc>
          <w:tcPr>
            <w:tcW w:type="dxa" w:w="5040"/>
          </w:tcPr>
          <w:p>
            <w:r>
              <w:t>One configured strategy/instrument execution</w:t>
            </w:r>
          </w:p>
        </w:tc>
      </w:tr>
      <w:tr>
        <w:tc>
          <w:tcPr>
            <w:tcW w:type="dxa" w:w="5040"/>
          </w:tcPr>
          <w:p>
            <w:r>
              <w:t>candidateIntentId</w:t>
            </w:r>
          </w:p>
        </w:tc>
        <w:tc>
          <w:tcPr>
            <w:tcW w:type="dxa" w:w="5040"/>
          </w:tcPr>
          <w:p>
            <w:r>
              <w:t>One strategy-generated opportunity</w:t>
            </w:r>
          </w:p>
        </w:tc>
      </w:tr>
      <w:tr>
        <w:tc>
          <w:tcPr>
            <w:tcW w:type="dxa" w:w="5040"/>
          </w:tcPr>
          <w:p>
            <w:r>
              <w:t>decisionId</w:t>
            </w:r>
          </w:p>
        </w:tc>
        <w:tc>
          <w:tcPr>
            <w:tcW w:type="dxa" w:w="5040"/>
          </w:tcPr>
          <w:p>
            <w:r>
              <w:t>One allocation/risk decision</w:t>
            </w:r>
          </w:p>
        </w:tc>
      </w:tr>
      <w:tr>
        <w:tc>
          <w:tcPr>
            <w:tcW w:type="dxa" w:w="5040"/>
          </w:tcPr>
          <w:p>
            <w:r>
              <w:t>tradeId</w:t>
            </w:r>
          </w:p>
        </w:tc>
        <w:tc>
          <w:tcPr>
            <w:tcW w:type="dxa" w:w="5040"/>
          </w:tcPr>
          <w:p>
            <w:r>
              <w:t>One trade lifecycle</w:t>
            </w:r>
          </w:p>
        </w:tc>
      </w:tr>
      <w:tr>
        <w:tc>
          <w:tcPr>
            <w:tcW w:type="dxa" w:w="5040"/>
          </w:tcPr>
          <w:p>
            <w:r>
              <w:t>externalExecutionId</w:t>
            </w:r>
          </w:p>
        </w:tc>
        <w:tc>
          <w:tcPr>
            <w:tcW w:type="dxa" w:w="5040"/>
          </w:tcPr>
          <w:p>
            <w:r>
              <w:t>Broker/simulation execution identity</w:t>
            </w:r>
          </w:p>
        </w:tc>
      </w:tr>
      <w:tr>
        <w:tc>
          <w:tcPr>
            <w:tcW w:type="dxa" w:w="5040"/>
          </w:tcPr>
          <w:p>
            <w:r>
              <w:t>replayRunId</w:t>
            </w:r>
          </w:p>
        </w:tc>
        <w:tc>
          <w:tcPr>
            <w:tcW w:type="dxa" w:w="5040"/>
          </w:tcPr>
          <w:p>
            <w:r>
              <w:t>Replay/simulation correlation</w:t>
            </w:r>
          </w:p>
        </w:tc>
      </w:tr>
      <w:tr>
        <w:tc>
          <w:tcPr>
            <w:tcW w:type="dxa" w:w="5040"/>
          </w:tcPr>
          <w:p>
            <w:r>
              <w:t>regressionRunId</w:t>
            </w:r>
          </w:p>
        </w:tc>
        <w:tc>
          <w:tcPr>
            <w:tcW w:type="dxa" w:w="5040"/>
          </w:tcPr>
          <w:p>
            <w:r>
              <w:t>Regression correlation</w:t>
            </w:r>
          </w:p>
        </w:tc>
      </w:tr>
    </w:tbl>
    <w:p>
      <w:r>
        <w:t>These identifiers should be propagated rather than regenerated at every service boundary.</w:t>
      </w:r>
    </w:p>
    <w:p>
      <w:pPr>
        <w:pStyle w:val="Heading1"/>
      </w:pPr>
      <w:r>
        <w:t>17. Alert Severity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Severity</w:t>
            </w:r>
          </w:p>
        </w:tc>
        <w:tc>
          <w:tcPr>
            <w:tcW w:type="dxa" w:w="5040"/>
          </w:tcPr>
          <w:p>
            <w:r>
              <w:t>Example</w:t>
            </w:r>
          </w:p>
        </w:tc>
      </w:tr>
      <w:tr>
        <w:tc>
          <w:tcPr>
            <w:tcW w:type="dxa" w:w="5040"/>
          </w:tcPr>
          <w:p>
            <w:r>
              <w:t>P1 – Critical</w:t>
            </w:r>
          </w:p>
        </w:tc>
        <w:tc>
          <w:tcPr>
            <w:tcW w:type="dxa" w:w="5040"/>
          </w:tcPr>
          <w:p>
            <w:r>
              <w:t>Live execution safety compromised, widespread processing halt, uncontrolled exposure risk</w:t>
            </w:r>
          </w:p>
        </w:tc>
      </w:tr>
      <w:tr>
        <w:tc>
          <w:tcPr>
            <w:tcW w:type="dxa" w:w="5040"/>
          </w:tcPr>
          <w:p>
            <w:r>
              <w:t>P2 – High</w:t>
            </w:r>
          </w:p>
        </w:tc>
        <w:tc>
          <w:tcPr>
            <w:tcW w:type="dxa" w:w="5040"/>
          </w:tcPr>
          <w:p>
            <w:r>
              <w:t>Active strategy processing materially delayed, reconciliation failure, broker integration outage</w:t>
            </w:r>
          </w:p>
        </w:tc>
      </w:tr>
      <w:tr>
        <w:tc>
          <w:tcPr>
            <w:tcW w:type="dxa" w:w="5040"/>
          </w:tcPr>
          <w:p>
            <w:r>
              <w:t>P3 – Medium</w:t>
            </w:r>
          </w:p>
        </w:tc>
        <w:tc>
          <w:tcPr>
            <w:tcW w:type="dxa" w:w="5040"/>
          </w:tcPr>
          <w:p>
            <w:r>
              <w:t>Degraded strategy/service, growing backlog within recovery tolerance</w:t>
            </w:r>
          </w:p>
        </w:tc>
      </w:tr>
      <w:tr>
        <w:tc>
          <w:tcPr>
            <w:tcW w:type="dxa" w:w="5040"/>
          </w:tcPr>
          <w:p>
            <w:r>
              <w:t>P4 – Low</w:t>
            </w:r>
          </w:p>
        </w:tc>
        <w:tc>
          <w:tcPr>
            <w:tcW w:type="dxa" w:w="5040"/>
          </w:tcPr>
          <w:p>
            <w:r>
              <w:t>Non-critical warning, capacity trend or informational anomaly</w:t>
            </w:r>
          </w:p>
        </w:tc>
      </w:tr>
    </w:tbl>
    <w:p>
      <w:r>
        <w:t>Alert thresholds should be tuned from observed baseline behavior rather than arbitrary static numbers.</w:t>
      </w:r>
    </w:p>
    <w:p>
      <w:pPr>
        <w:pStyle w:val="Heading1"/>
      </w:pPr>
      <w:r>
        <w:t>18. Recommended Alerts</w:t>
      </w:r>
    </w:p>
    <w:p>
      <w:pPr>
        <w:pStyle w:val="ListBullet"/>
      </w:pPr>
      <w:r>
        <w:t>Active execution receiving no observations beyond configured tolerance.</w:t>
      </w:r>
    </w:p>
    <w:p>
      <w:pPr>
        <w:pStyle w:val="ListBullet"/>
      </w:pPr>
      <w:r>
        <w:t>Mailbox oldest-event age exceeds strategy tolerance.</w:t>
      </w:r>
    </w:p>
    <w:p>
      <w:pPr>
        <w:pStyle w:val="ListBullet"/>
      </w:pPr>
      <w:r>
        <w:t>Mailbox backlog grows continuously for a sustained period.</w:t>
      </w:r>
    </w:p>
    <w:p>
      <w:pPr>
        <w:pStyle w:val="ListBullet"/>
      </w:pPr>
      <w:r>
        <w:t>Same-key concurrency invariant violated.</w:t>
      </w:r>
    </w:p>
    <w:p>
      <w:pPr>
        <w:pStyle w:val="ListBullet"/>
      </w:pPr>
      <w:r>
        <w:t>Observation persistence failures.</w:t>
      </w:r>
    </w:p>
    <w:p>
      <w:pPr>
        <w:pStyle w:val="ListBullet"/>
      </w:pPr>
      <w:r>
        <w:t>Indicator state repeatedly enters DEGRADED.</w:t>
      </w:r>
    </w:p>
    <w:p>
      <w:pPr>
        <w:pStyle w:val="ListBullet"/>
      </w:pPr>
      <w:r>
        <w:t>Risk engine cannot obtain mandatory portfolio state.</w:t>
      </w:r>
    </w:p>
    <w:p>
      <w:pPr>
        <w:pStyle w:val="ListBullet"/>
      </w:pPr>
      <w:r>
        <w:t>Risk reservation conflicts exceed baseline.</w:t>
      </w:r>
    </w:p>
    <w:p>
      <w:pPr>
        <w:pStyle w:val="ListBullet"/>
      </w:pPr>
      <w:r>
        <w:t>Trade remains in an execution-pending state beyond threshold.</w:t>
      </w:r>
    </w:p>
    <w:p>
      <w:pPr>
        <w:pStyle w:val="ListBullet"/>
      </w:pPr>
      <w:r>
        <w:t>Reconciliation backlog exceeds threshold.</w:t>
      </w:r>
    </w:p>
    <w:p>
      <w:pPr>
        <w:pStyle w:val="ListBullet"/>
      </w:pPr>
      <w:r>
        <w:t>Container readiness failures for critical services.</w:t>
      </w:r>
    </w:p>
    <w:p>
      <w:pPr>
        <w:pStyle w:val="ListBullet"/>
      </w:pPr>
      <w:r>
        <w:t>Database/cache connectivity degradation.</w:t>
      </w:r>
    </w:p>
    <w:p>
      <w:pPr>
        <w:pStyle w:val="ListBullet"/>
      </w:pPr>
      <w:r>
        <w:t>Unexpected strategy execution restart loops.</w:t>
      </w:r>
    </w:p>
    <w:p>
      <w:pPr>
        <w:pStyle w:val="Heading1"/>
      </w:pPr>
      <w:r>
        <w:t>19. Market-Hour Operations</w:t>
      </w:r>
    </w:p>
    <w:p>
      <w:r>
        <w:rPr>
          <w:rFonts w:ascii="Consolas" w:hAnsi="Consolas"/>
          <w:sz w:val="16"/>
        </w:rPr>
        <w:t>Before Market Open</w:t>
        <w:br/>
        <w:t xml:space="preserve">  → verify services</w:t>
        <w:br/>
        <w:t xml:space="preserve">  → verify broker connectivity</w:t>
        <w:br/>
        <w:t xml:space="preserve">  → verify active strategy executions</w:t>
        <w:br/>
        <w:t xml:space="preserve">  → verify policy/version fingerprints</w:t>
        <w:br/>
        <w:t xml:space="preserve">  → verify mailbox capacity</w:t>
        <w:br/>
        <w:t xml:space="preserve">  → verify observation flow</w:t>
        <w:br/>
        <w:br/>
        <w:t>During Market</w:t>
        <w:br/>
        <w:t xml:space="preserve">  → monitor observation freshness</w:t>
        <w:br/>
        <w:t xml:space="preserve">  → monitor mailbox age/depth</w:t>
        <w:br/>
        <w:t xml:space="preserve">  → monitor evaluation latency</w:t>
        <w:br/>
        <w:t xml:space="preserve">  → monitor risk/trade states</w:t>
        <w:br/>
        <w:t xml:space="preserve">  → investigate alerts</w:t>
        <w:br/>
        <w:br/>
        <w:t>After Market</w:t>
        <w:br/>
        <w:t xml:space="preserve">  → reconcile executions</w:t>
        <w:br/>
        <w:t xml:space="preserve">  → verify positions</w:t>
        <w:br/>
        <w:t xml:space="preserve">  → review errors/rejections</w:t>
        <w:br/>
        <w:t xml:space="preserve">  → archive operational summary</w:t>
        <w:br/>
        <w:t xml:space="preserve">  → inspect cost/resource usage</w:t>
      </w:r>
    </w:p>
    <w:p>
      <w:pPr>
        <w:pStyle w:val="Heading1"/>
      </w:pPr>
      <w:r>
        <w:t>20. Manual Monitoring Console</w:t>
      </w:r>
    </w:p>
    <w:p>
      <w:r>
        <w:t>The frontend should expose a protected operations area for authorized users.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Screen</w:t>
            </w:r>
          </w:p>
        </w:tc>
        <w:tc>
          <w:tcPr>
            <w:tcW w:type="dxa" w:w="5040"/>
          </w:tcPr>
          <w:p>
            <w:r>
              <w:t>Capabilities</w:t>
            </w:r>
          </w:p>
        </w:tc>
      </w:tr>
      <w:tr>
        <w:tc>
          <w:tcPr>
            <w:tcW w:type="dxa" w:w="5040"/>
          </w:tcPr>
          <w:p>
            <w:r>
              <w:t>Service Overview</w:t>
            </w:r>
          </w:p>
        </w:tc>
        <w:tc>
          <w:tcPr>
            <w:tcW w:type="dxa" w:w="5040"/>
          </w:tcPr>
          <w:p>
            <w:r>
              <w:t>Health/readiness, revision, restart history, dependency status</w:t>
            </w:r>
          </w:p>
        </w:tc>
      </w:tr>
      <w:tr>
        <w:tc>
          <w:tcPr>
            <w:tcW w:type="dxa" w:w="5040"/>
          </w:tcPr>
          <w:p>
            <w:r>
              <w:t>Mailbox Monitor</w:t>
            </w:r>
          </w:p>
        </w:tc>
        <w:tc>
          <w:tcPr>
            <w:tcW w:type="dxa" w:w="5040"/>
          </w:tcPr>
          <w:p>
            <w:r>
              <w:t>Partitions, queue depth, oldest event, hot keys</w:t>
            </w:r>
          </w:p>
        </w:tc>
      </w:tr>
      <w:tr>
        <w:tc>
          <w:tcPr>
            <w:tcW w:type="dxa" w:w="5040"/>
          </w:tcPr>
          <w:p>
            <w:r>
              <w:t>Strategy Monitor</w:t>
            </w:r>
          </w:p>
        </w:tc>
        <w:tc>
          <w:tcPr>
            <w:tcW w:type="dxa" w:w="5040"/>
          </w:tcPr>
          <w:p>
            <w:r>
              <w:t>Active executions, state, last observation, evaluation latency</w:t>
            </w:r>
          </w:p>
        </w:tc>
      </w:tr>
      <w:tr>
        <w:tc>
          <w:tcPr>
            <w:tcW w:type="dxa" w:w="5040"/>
          </w:tcPr>
          <w:p>
            <w:r>
              <w:t>Decision Monitor</w:t>
            </w:r>
          </w:p>
        </w:tc>
        <w:tc>
          <w:tcPr>
            <w:tcW w:type="dxa" w:w="5040"/>
          </w:tcPr>
          <w:p>
            <w:r>
              <w:t>Candidate/risk outcomes and reasons</w:t>
            </w:r>
          </w:p>
        </w:tc>
      </w:tr>
      <w:tr>
        <w:tc>
          <w:tcPr>
            <w:tcW w:type="dxa" w:w="5040"/>
          </w:tcPr>
          <w:p>
            <w:r>
              <w:t>Trade Monitor</w:t>
            </w:r>
          </w:p>
        </w:tc>
        <w:tc>
          <w:tcPr>
            <w:tcW w:type="dxa" w:w="5040"/>
          </w:tcPr>
          <w:p>
            <w:r>
              <w:t>Lifecycle, execution IDs, fill progress, reconciliation</w:t>
            </w:r>
          </w:p>
        </w:tc>
      </w:tr>
      <w:tr>
        <w:tc>
          <w:tcPr>
            <w:tcW w:type="dxa" w:w="5040"/>
          </w:tcPr>
          <w:p>
            <w:r>
              <w:t>Replay/Regression</w:t>
            </w:r>
          </w:p>
        </w:tc>
        <w:tc>
          <w:tcPr>
            <w:tcW w:type="dxa" w:w="5040"/>
          </w:tcPr>
          <w:p>
            <w:r>
              <w:t>Run status, throughput, failures and divergence</w:t>
            </w:r>
          </w:p>
        </w:tc>
      </w:tr>
      <w:tr>
        <w:tc>
          <w:tcPr>
            <w:tcW w:type="dxa" w:w="5040"/>
          </w:tcPr>
          <w:p>
            <w:r>
              <w:t>Audit</w:t>
            </w:r>
          </w:p>
        </w:tc>
        <w:tc>
          <w:tcPr>
            <w:tcW w:type="dxa" w:w="5040"/>
          </w:tcPr>
          <w:p>
            <w:r>
              <w:t>Strategy/policy publication and lifecycle events</w:t>
            </w:r>
          </w:p>
        </w:tc>
      </w:tr>
    </w:tbl>
    <w:p>
      <w:pPr>
        <w:pStyle w:val="Heading1"/>
      </w:pPr>
      <w:r>
        <w:t>21. Manual Debugging Workflow</w:t>
      </w:r>
    </w:p>
    <w:p>
      <w:r>
        <w:rPr>
          <w:rFonts w:ascii="Consolas" w:hAnsi="Consolas"/>
          <w:sz w:val="16"/>
        </w:rPr>
        <w:t>Trade / Alert</w:t>
        <w:br/>
        <w:t xml:space="preserve">    ↓</w:t>
        <w:br/>
        <w:t>Correlation ID</w:t>
        <w:br/>
        <w:t xml:space="preserve">    ↓</w:t>
        <w:br/>
        <w:t>Trade Lifecycle</w:t>
        <w:br/>
        <w:t xml:space="preserve">    ↓</w:t>
        <w:br/>
        <w:t>Allocation/Risk Decision</w:t>
        <w:br/>
        <w:t xml:space="preserve">    ↓</w:t>
        <w:br/>
        <w:t>CandidateIntent</w:t>
        <w:br/>
        <w:t xml:space="preserve">    ↓</w:t>
        <w:br/>
        <w:t>Workflow Transition</w:t>
        <w:br/>
        <w:t xml:space="preserve">    ↓</w:t>
        <w:br/>
        <w:t>Rule Trace + Indicator Snapshot</w:t>
        <w:br/>
        <w:t xml:space="preserve">    ↓</w:t>
        <w:br/>
        <w:t>Normalized Observation</w:t>
        <w:br/>
        <w:t xml:space="preserve">    ↓</w:t>
        <w:br/>
        <w:t>Raw-source reference (if authorized)</w:t>
      </w:r>
    </w:p>
    <w:p>
      <w:r>
        <w:t>The operator should not need shell access to a container to diagnose normal application failures. Container logs remain available for deeper engineering investigation.</w:t>
      </w:r>
    </w:p>
    <w:p>
      <w:pPr>
        <w:pStyle w:val="Heading1"/>
      </w:pPr>
      <w:r>
        <w:t>22. Safe Operational Controls</w:t>
      </w:r>
    </w:p>
    <w:p>
      <w:pPr>
        <w:pStyle w:val="ListBullet"/>
      </w:pPr>
      <w:r>
        <w:t>Pause/stop strategy execution without deleting configuration.</w:t>
      </w:r>
    </w:p>
    <w:p>
      <w:pPr>
        <w:pStyle w:val="ListBullet"/>
      </w:pPr>
      <w:r>
        <w:t>Drain a strategy execution before restart where possible.</w:t>
      </w:r>
    </w:p>
    <w:p>
      <w:pPr>
        <w:pStyle w:val="ListBullet"/>
      </w:pPr>
      <w:r>
        <w:t>Disable a strategy version from new activation by retiring it.</w:t>
      </w:r>
    </w:p>
    <w:p>
      <w:pPr>
        <w:pStyle w:val="ListBullet"/>
      </w:pPr>
      <w:r>
        <w:t>Cancel replay runs without affecting live executions.</w:t>
      </w:r>
    </w:p>
    <w:p>
      <w:pPr>
        <w:pStyle w:val="ListBullet"/>
      </w:pPr>
      <w:r>
        <w:t>Trigger reconciliation for unresolved trades.</w:t>
      </w:r>
    </w:p>
    <w:p>
      <w:pPr>
        <w:pStyle w:val="ListBullet"/>
      </w:pPr>
      <w:r>
        <w:t>Rotate/refresh service credentials through managed secret mechanisms.</w:t>
      </w:r>
    </w:p>
    <w:p>
      <w:pPr>
        <w:pStyle w:val="ListBullet"/>
      </w:pPr>
      <w:r>
        <w:t>Require authorization for controls affecting live trading.</w:t>
      </w:r>
    </w:p>
    <w:p>
      <w:r>
        <w:t>Controls that can change live behavior should be audited with actor, timestamp and reason.</w:t>
      </w:r>
    </w:p>
    <w:p>
      <w:pPr>
        <w:pStyle w:val="Heading1"/>
      </w:pPr>
      <w:r>
        <w:t>23. Incident Response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Phase</w:t>
            </w:r>
          </w:p>
        </w:tc>
        <w:tc>
          <w:tcPr>
            <w:tcW w:type="dxa" w:w="5040"/>
          </w:tcPr>
          <w:p>
            <w:r>
              <w:t>Activities</w:t>
            </w:r>
          </w:p>
        </w:tc>
      </w:tr>
      <w:tr>
        <w:tc>
          <w:tcPr>
            <w:tcW w:type="dxa" w:w="5040"/>
          </w:tcPr>
          <w:p>
            <w:r>
              <w:t>Detect</w:t>
            </w:r>
          </w:p>
        </w:tc>
        <w:tc>
          <w:tcPr>
            <w:tcW w:type="dxa" w:w="5040"/>
          </w:tcPr>
          <w:p>
            <w:r>
              <w:t>Alert, dashboard or user report</w:t>
            </w:r>
          </w:p>
        </w:tc>
      </w:tr>
      <w:tr>
        <w:tc>
          <w:tcPr>
            <w:tcW w:type="dxa" w:w="5040"/>
          </w:tcPr>
          <w:p>
            <w:r>
              <w:t>Triage</w:t>
            </w:r>
          </w:p>
        </w:tc>
        <w:tc>
          <w:tcPr>
            <w:tcW w:type="dxa" w:w="5040"/>
          </w:tcPr>
          <w:p>
            <w:r>
              <w:t>Identify scope, affected executions and last known healthy state</w:t>
            </w:r>
          </w:p>
        </w:tc>
      </w:tr>
      <w:tr>
        <w:tc>
          <w:tcPr>
            <w:tcW w:type="dxa" w:w="5040"/>
          </w:tcPr>
          <w:p>
            <w:r>
              <w:t>Contain</w:t>
            </w:r>
          </w:p>
        </w:tc>
        <w:tc>
          <w:tcPr>
            <w:tcW w:type="dxa" w:w="5040"/>
          </w:tcPr>
          <w:p>
            <w:r>
              <w:t>Pause affected strategy/execution or isolate service if safety requires</w:t>
            </w:r>
          </w:p>
        </w:tc>
      </w:tr>
      <w:tr>
        <w:tc>
          <w:tcPr>
            <w:tcW w:type="dxa" w:w="5040"/>
          </w:tcPr>
          <w:p>
            <w:r>
              <w:t>Diagnose</w:t>
            </w:r>
          </w:p>
        </w:tc>
        <w:tc>
          <w:tcPr>
            <w:tcW w:type="dxa" w:w="5040"/>
          </w:tcPr>
          <w:p>
            <w:r>
              <w:t>Trace observation → rule → risk → trade</w:t>
            </w:r>
          </w:p>
        </w:tc>
      </w:tr>
      <w:tr>
        <w:tc>
          <w:tcPr>
            <w:tcW w:type="dxa" w:w="5040"/>
          </w:tcPr>
          <w:p>
            <w:r>
              <w:t>Recover</w:t>
            </w:r>
          </w:p>
        </w:tc>
        <w:tc>
          <w:tcPr>
            <w:tcW w:type="dxa" w:w="5040"/>
          </w:tcPr>
          <w:p>
            <w:r>
              <w:t>Restart/drain, replay/reconcile, restore dependency</w:t>
            </w:r>
          </w:p>
        </w:tc>
      </w:tr>
      <w:tr>
        <w:tc>
          <w:tcPr>
            <w:tcW w:type="dxa" w:w="5040"/>
          </w:tcPr>
          <w:p>
            <w:r>
              <w:t>Validate</w:t>
            </w:r>
          </w:p>
        </w:tc>
        <w:tc>
          <w:tcPr>
            <w:tcW w:type="dxa" w:w="5040"/>
          </w:tcPr>
          <w:p>
            <w:r>
              <w:t>Confirm state, positions, risk and queue health</w:t>
            </w:r>
          </w:p>
        </w:tc>
      </w:tr>
      <w:tr>
        <w:tc>
          <w:tcPr>
            <w:tcW w:type="dxa" w:w="5040"/>
          </w:tcPr>
          <w:p>
            <w:r>
              <w:t>Close</w:t>
            </w:r>
          </w:p>
        </w:tc>
        <w:tc>
          <w:tcPr>
            <w:tcW w:type="dxa" w:w="5040"/>
          </w:tcPr>
          <w:p>
            <w:r>
              <w:t>Record incident, root cause and corrective action</w:t>
            </w:r>
          </w:p>
        </w:tc>
      </w:tr>
    </w:tbl>
    <w:p>
      <w:pPr>
        <w:pStyle w:val="Heading1"/>
      </w:pPr>
      <w:r>
        <w:t>24. Runbook: Mailbox Backlog</w:t>
      </w:r>
    </w:p>
    <w:p>
      <w:pPr>
        <w:pStyle w:val="ListBullet"/>
      </w:pPr>
      <w:r>
        <w:t>Confirm producer rate and consumer/evaluation rate.</w:t>
      </w:r>
    </w:p>
    <w:p>
      <w:pPr>
        <w:pStyle w:val="ListBullet"/>
      </w:pPr>
      <w:r>
        <w:t>Identify affected partitions and hottest EvaluationKeys.</w:t>
      </w:r>
    </w:p>
    <w:p>
      <w:pPr>
        <w:pStyle w:val="ListBullet"/>
      </w:pPr>
      <w:r>
        <w:t>Inspect evaluation latency for the affected strategy.</w:t>
      </w:r>
    </w:p>
    <w:p>
      <w:pPr>
        <w:pStyle w:val="ListBullet"/>
      </w:pPr>
      <w:r>
        <w:t>Check indicator/rule runtime errors.</w:t>
      </w:r>
    </w:p>
    <w:p>
      <w:pPr>
        <w:pStyle w:val="ListBullet"/>
      </w:pPr>
      <w:r>
        <w:t>Check downstream database/cache latency.</w:t>
      </w:r>
    </w:p>
    <w:p>
      <w:pPr>
        <w:pStyle w:val="ListBullet"/>
      </w:pPr>
      <w:r>
        <w:t>Determine whether backlog is within strategy staleness tolerance.</w:t>
      </w:r>
    </w:p>
    <w:p>
      <w:pPr>
        <w:pStyle w:val="ListBullet"/>
      </w:pPr>
      <w:r>
        <w:t>Apply configured overflow/coalescing policy only when semantically valid.</w:t>
      </w:r>
    </w:p>
    <w:p>
      <w:pPr>
        <w:pStyle w:val="ListBullet"/>
      </w:pPr>
      <w:r>
        <w:t>If safety requires, pause affected strategy executions.</w:t>
      </w:r>
    </w:p>
    <w:p>
      <w:pPr>
        <w:pStyle w:val="ListBullet"/>
      </w:pPr>
      <w:r>
        <w:t>After recovery, verify no duplicate candidate/trade effects.</w:t>
      </w:r>
    </w:p>
    <w:p>
      <w:pPr>
        <w:pStyle w:val="Heading1"/>
      </w:pPr>
      <w:r>
        <w:t>25. Runbook: Trade Stuck in Execution</w:t>
      </w:r>
    </w:p>
    <w:p>
      <w:pPr>
        <w:pStyle w:val="ListBullet"/>
      </w:pPr>
      <w:r>
        <w:t>Locate tradeId and externalExecutionId.</w:t>
      </w:r>
    </w:p>
    <w:p>
      <w:pPr>
        <w:pStyle w:val="ListBullet"/>
      </w:pPr>
      <w:r>
        <w:t>Inspect lifecycle transition history.</w:t>
      </w:r>
    </w:p>
    <w:p>
      <w:pPr>
        <w:pStyle w:val="ListBullet"/>
      </w:pPr>
      <w:r>
        <w:t>Check broker adapter health and submission latency.</w:t>
      </w:r>
    </w:p>
    <w:p>
      <w:pPr>
        <w:pStyle w:val="ListBullet"/>
      </w:pPr>
      <w:r>
        <w:t>Determine whether external submission status is unknown or explicitly pending.</w:t>
      </w:r>
    </w:p>
    <w:p>
      <w:pPr>
        <w:pStyle w:val="ListBullet"/>
      </w:pPr>
      <w:r>
        <w:t>Run reconciliation rather than assuming failure.</w:t>
      </w:r>
    </w:p>
    <w:p>
      <w:pPr>
        <w:pStyle w:val="ListBullet"/>
      </w:pPr>
      <w:r>
        <w:t>Apply the normalized execution update.</w:t>
      </w:r>
    </w:p>
    <w:p>
      <w:pPr>
        <w:pStyle w:val="ListBullet"/>
      </w:pPr>
      <w:r>
        <w:t>Confirm position state and risk reservation.</w:t>
      </w:r>
    </w:p>
    <w:p>
      <w:pPr>
        <w:pStyle w:val="ListBullet"/>
      </w:pPr>
      <w:r>
        <w:t>Record incident evidence if the state diverged.</w:t>
      </w:r>
    </w:p>
    <w:p>
      <w:pPr>
        <w:pStyle w:val="Heading1"/>
      </w:pPr>
      <w:r>
        <w:t>26. Runbook: Strategy Produces Unexpected Trades</w:t>
      </w:r>
    </w:p>
    <w:p>
      <w:pPr>
        <w:pStyle w:val="ListBullet"/>
      </w:pPr>
      <w:r>
        <w:t>Identify tradeId and triggering candidateIntentId.</w:t>
      </w:r>
    </w:p>
    <w:p>
      <w:pPr>
        <w:pStyle w:val="ListBullet"/>
      </w:pPr>
      <w:r>
        <w:t>Inspect strategy version and plan fingerprint.</w:t>
      </w:r>
    </w:p>
    <w:p>
      <w:pPr>
        <w:pStyle w:val="ListBullet"/>
      </w:pPr>
      <w:r>
        <w:t>Inspect triggering normalized observations.</w:t>
      </w:r>
    </w:p>
    <w:p>
      <w:pPr>
        <w:pStyle w:val="ListBullet"/>
      </w:pPr>
      <w:r>
        <w:t>Inspect indicator snapshots and readiness.</w:t>
      </w:r>
    </w:p>
    <w:p>
      <w:pPr>
        <w:pStyle w:val="ListBullet"/>
      </w:pPr>
      <w:r>
        <w:t>Inspect rule trace and workflow transition.</w:t>
      </w:r>
    </w:p>
    <w:p>
      <w:pPr>
        <w:pStyle w:val="ListBullet"/>
      </w:pPr>
      <w:r>
        <w:t>Inspect allocation/risk decision and policy versions.</w:t>
      </w:r>
    </w:p>
    <w:p>
      <w:pPr>
        <w:pStyle w:val="ListBullet"/>
      </w:pPr>
      <w:r>
        <w:t>Compare against a regression/replay scenario.</w:t>
      </w:r>
    </w:p>
    <w:p>
      <w:pPr>
        <w:pStyle w:val="ListBullet"/>
      </w:pPr>
      <w:r>
        <w:t>If required, disable the affected strategy execution using audited operational controls.</w:t>
      </w:r>
    </w:p>
    <w:p>
      <w:pPr>
        <w:pStyle w:val="ListBullet"/>
      </w:pPr>
      <w:r>
        <w:t>Do not use AI explanation as a substitute for the authoritative trace.</w:t>
      </w:r>
    </w:p>
    <w:p>
      <w:pPr>
        <w:pStyle w:val="Heading1"/>
      </w:pPr>
      <w:r>
        <w:t>27. Observability Cost Controls</w:t>
      </w:r>
    </w:p>
    <w:p>
      <w:pPr>
        <w:pStyle w:val="ListBullet"/>
      </w:pPr>
      <w:r>
        <w:t>Prefer structured, low-volume INFO logs.</w:t>
      </w:r>
    </w:p>
    <w:p>
      <w:pPr>
        <w:pStyle w:val="ListBullet"/>
      </w:pPr>
      <w:r>
        <w:t>Sample high-volume DEBUG traces.</w:t>
      </w:r>
    </w:p>
    <w:p>
      <w:pPr>
        <w:pStyle w:val="ListBullet"/>
      </w:pPr>
      <w:r>
        <w:t>Do not log every market tick payload in production.</w:t>
      </w:r>
    </w:p>
    <w:p>
      <w:pPr>
        <w:pStyle w:val="ListBullet"/>
      </w:pPr>
      <w:r>
        <w:t>Retain normalized observations in the dedicated data store according to policy.</w:t>
      </w:r>
    </w:p>
    <w:p>
      <w:pPr>
        <w:pStyle w:val="ListBullet"/>
      </w:pPr>
      <w:r>
        <w:t>Aggregate metrics rather than emitting high-cardinality labels indiscriminately.</w:t>
      </w:r>
    </w:p>
    <w:p>
      <w:pPr>
        <w:pStyle w:val="ListBullet"/>
      </w:pPr>
      <w:r>
        <w:t>Control replay logging separately from live trading logging.</w:t>
      </w:r>
    </w:p>
    <w:p>
      <w:pPr>
        <w:pStyle w:val="ListBullet"/>
      </w:pPr>
      <w:r>
        <w:t>Monitor AI explanation usage and cost independently; AI calls are strictly on demand.</w:t>
      </w:r>
    </w:p>
    <w:p>
      <w:pPr>
        <w:pStyle w:val="Heading1"/>
      </w:pPr>
      <w:r>
        <w:t>28. Security and Access</w:t>
      </w:r>
    </w:p>
    <w:p>
      <w:pPr>
        <w:pStyle w:val="ListBullet"/>
      </w:pPr>
      <w:r>
        <w:t>Operations console requires authenticated and authorized users.</w:t>
      </w:r>
    </w:p>
    <w:p>
      <w:pPr>
        <w:pStyle w:val="ListBullet"/>
      </w:pPr>
      <w:r>
        <w:t>Read-only monitoring should be separated from live-control permissions.</w:t>
      </w:r>
    </w:p>
    <w:p>
      <w:pPr>
        <w:pStyle w:val="ListBullet"/>
      </w:pPr>
      <w:r>
        <w:t>Live strategy controls require stronger authorization than simulation controls.</w:t>
      </w:r>
    </w:p>
    <w:p>
      <w:pPr>
        <w:pStyle w:val="ListBullet"/>
      </w:pPr>
      <w:r>
        <w:t>Logs and traces must not expose secrets.</w:t>
      </w:r>
    </w:p>
    <w:p>
      <w:pPr>
        <w:pStyle w:val="ListBullet"/>
      </w:pPr>
      <w:r>
        <w:t>Access to account/position data follows least privilege.</w:t>
      </w:r>
    </w:p>
    <w:p>
      <w:pPr>
        <w:pStyle w:val="ListBullet"/>
      </w:pPr>
      <w:r>
        <w:t>Operational actions are audited.</w:t>
      </w:r>
    </w:p>
    <w:p>
      <w:pPr>
        <w:pStyle w:val="Heading1"/>
      </w:pPr>
      <w:r>
        <w:t>29. Testing Observability</w:t>
      </w:r>
    </w:p>
    <w:p>
      <w:pPr>
        <w:pStyle w:val="ListBullet"/>
      </w:pPr>
      <w:r>
        <w:t>Health/readiness endpoint tests.</w:t>
      </w:r>
    </w:p>
    <w:p>
      <w:pPr>
        <w:pStyle w:val="ListBullet"/>
      </w:pPr>
      <w:r>
        <w:t>Metric emission tests for critical lifecycle events.</w:t>
      </w:r>
    </w:p>
    <w:p>
      <w:pPr>
        <w:pStyle w:val="ListBullet"/>
      </w:pPr>
      <w:r>
        <w:t>Correlation-ID propagation tests.</w:t>
      </w:r>
    </w:p>
    <w:p>
      <w:pPr>
        <w:pStyle w:val="ListBullet"/>
      </w:pPr>
      <w:r>
        <w:t>Alert rule tests using synthetic fault conditions.</w:t>
      </w:r>
    </w:p>
    <w:p>
      <w:pPr>
        <w:pStyle w:val="ListBullet"/>
      </w:pPr>
      <w:r>
        <w:t>Mailbox backlog/load tests.</w:t>
      </w:r>
    </w:p>
    <w:p>
      <w:pPr>
        <w:pStyle w:val="ListBullet"/>
      </w:pPr>
      <w:r>
        <w:t>Container restart and graceful-drain tests.</w:t>
      </w:r>
    </w:p>
    <w:p>
      <w:pPr>
        <w:pStyle w:val="ListBullet"/>
      </w:pPr>
      <w:r>
        <w:t>Database/cache outage tests.</w:t>
      </w:r>
    </w:p>
    <w:p>
      <w:pPr>
        <w:pStyle w:val="ListBullet"/>
      </w:pPr>
      <w:r>
        <w:t>Trade reconciliation alert tests.</w:t>
      </w:r>
    </w:p>
    <w:p>
      <w:pPr>
        <w:pStyle w:val="ListBullet"/>
      </w:pPr>
      <w:r>
        <w:t>Manual-debug drill-down tests.</w:t>
      </w:r>
    </w:p>
    <w:p>
      <w:pPr>
        <w:pStyle w:val="ListBullet"/>
      </w:pPr>
      <w:r>
        <w:t>Cost/log-volume regression tests.</w:t>
      </w:r>
    </w:p>
    <w:p>
      <w:pPr>
        <w:pStyle w:val="Heading1"/>
      </w:pPr>
      <w:r>
        <w:t>30. SLO/SLI Starting Point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SLI</w:t>
            </w:r>
          </w:p>
        </w:tc>
        <w:tc>
          <w:tcPr>
            <w:tcW w:type="dxa" w:w="5040"/>
          </w:tcPr>
          <w:p>
            <w:r>
              <w:t>Initial Objective</w:t>
            </w:r>
          </w:p>
        </w:tc>
      </w:tr>
      <w:tr>
        <w:tc>
          <w:tcPr>
            <w:tcW w:type="dxa" w:w="5040"/>
          </w:tcPr>
          <w:p>
            <w:r>
              <w:t>Observation persistence availability</w:t>
            </w:r>
          </w:p>
        </w:tc>
        <w:tc>
          <w:tcPr>
            <w:tcW w:type="dxa" w:w="5040"/>
          </w:tcPr>
          <w:p>
            <w:r>
              <w:t>High availability during configured market hours</w:t>
            </w:r>
          </w:p>
        </w:tc>
      </w:tr>
      <w:tr>
        <w:tc>
          <w:tcPr>
            <w:tcW w:type="dxa" w:w="5040"/>
          </w:tcPr>
          <w:p>
            <w:r>
              <w:t>Evaluation freshness</w:t>
            </w:r>
          </w:p>
        </w:tc>
        <w:tc>
          <w:tcPr>
            <w:tcW w:type="dxa" w:w="5040"/>
          </w:tcPr>
          <w:p>
            <w:r>
              <w:t>Configured per strategy; measured by oldest-event age</w:t>
            </w:r>
          </w:p>
        </w:tc>
      </w:tr>
      <w:tr>
        <w:tc>
          <w:tcPr>
            <w:tcW w:type="dxa" w:w="5040"/>
          </w:tcPr>
          <w:p>
            <w:r>
              <w:t>Mailbox backlog</w:t>
            </w:r>
          </w:p>
        </w:tc>
        <w:tc>
          <w:tcPr>
            <w:tcW w:type="dxa" w:w="5040"/>
          </w:tcPr>
          <w:p>
            <w:r>
              <w:t>Bounded and recoverable</w:t>
            </w:r>
          </w:p>
        </w:tc>
      </w:tr>
      <w:tr>
        <w:tc>
          <w:tcPr>
            <w:tcW w:type="dxa" w:w="5040"/>
          </w:tcPr>
          <w:p>
            <w:r>
              <w:t>Risk decision latency</w:t>
            </w:r>
          </w:p>
        </w:tc>
        <w:tc>
          <w:tcPr>
            <w:tcW w:type="dxa" w:w="5040"/>
          </w:tcPr>
          <w:p>
            <w:r>
              <w:t>Within strategy-specific operational tolerance</w:t>
            </w:r>
          </w:p>
        </w:tc>
      </w:tr>
      <w:tr>
        <w:tc>
          <w:tcPr>
            <w:tcW w:type="dxa" w:w="5040"/>
          </w:tcPr>
          <w:p>
            <w:r>
              <w:t>Trade lifecycle update latency</w:t>
            </w:r>
          </w:p>
        </w:tc>
        <w:tc>
          <w:tcPr>
            <w:tcW w:type="dxa" w:w="5040"/>
          </w:tcPr>
          <w:p>
            <w:r>
              <w:t>Within broker/integration tolerance</w:t>
            </w:r>
          </w:p>
        </w:tc>
      </w:tr>
      <w:tr>
        <w:tc>
          <w:tcPr>
            <w:tcW w:type="dxa" w:w="5040"/>
          </w:tcPr>
          <w:p>
            <w:r>
              <w:t>Reconciliation age</w:t>
            </w:r>
          </w:p>
        </w:tc>
        <w:tc>
          <w:tcPr>
            <w:tcW w:type="dxa" w:w="5040"/>
          </w:tcPr>
          <w:p>
            <w:r>
              <w:t>No unresolved item beyond configured operational threshold</w:t>
            </w:r>
          </w:p>
        </w:tc>
      </w:tr>
      <w:tr>
        <w:tc>
          <w:tcPr>
            <w:tcW w:type="dxa" w:w="5040"/>
          </w:tcPr>
          <w:p>
            <w:r>
              <w:t>Operations console availability</w:t>
            </w:r>
          </w:p>
        </w:tc>
        <w:tc>
          <w:tcPr>
            <w:tcW w:type="dxa" w:w="5040"/>
          </w:tcPr>
          <w:p>
            <w:r>
              <w:t>Sufficient for market-hour monitoring</w:t>
            </w:r>
          </w:p>
        </w:tc>
      </w:tr>
    </w:tbl>
    <w:p>
      <w:r>
        <w:t>Exact numeric SLOs should be baselined after load testing and real operating measurements rather than hard-coded prematurely.</w:t>
      </w:r>
    </w:p>
    <w:p>
      <w:pPr>
        <w:pStyle w:val="Heading1"/>
      </w:pPr>
      <w:r>
        <w:t>31. Deployment and Rollback Observability</w:t>
      </w:r>
    </w:p>
    <w:p>
      <w:pPr>
        <w:pStyle w:val="ListBullet"/>
      </w:pPr>
      <w:r>
        <w:t>Tag deployments with application version and Git commit.</w:t>
      </w:r>
    </w:p>
    <w:p>
      <w:pPr>
        <w:pStyle w:val="ListBullet"/>
      </w:pPr>
      <w:r>
        <w:t>Record strategy/compiler/runtime versions in telemetry.</w:t>
      </w:r>
    </w:p>
    <w:p>
      <w:pPr>
        <w:pStyle w:val="ListBullet"/>
      </w:pPr>
      <w:r>
        <w:t>Compare error and latency metrics before and after deployment.</w:t>
      </w:r>
    </w:p>
    <w:p>
      <w:pPr>
        <w:pStyle w:val="ListBullet"/>
      </w:pPr>
      <w:r>
        <w:t>Use Cloud Run revision-level health and traffic information where applicable.</w:t>
      </w:r>
    </w:p>
    <w:p>
      <w:pPr>
        <w:pStyle w:val="ListBullet"/>
      </w:pPr>
      <w:r>
        <w:t>Support rapid rollback of an unhealthy application revision.</w:t>
      </w:r>
    </w:p>
    <w:p>
      <w:pPr>
        <w:pStyle w:val="ListBullet"/>
      </w:pPr>
      <w:r>
        <w:t>Do not automatically roll back a strategy configuration change without governance; configuration and software releases are separate artifacts.</w:t>
      </w:r>
    </w:p>
    <w:p>
      <w:pPr>
        <w:pStyle w:val="Heading1"/>
      </w:pPr>
      <w:r>
        <w:t>32. Suggested Java Observability Package</w:t>
      </w:r>
    </w:p>
    <w:p>
      <w:r>
        <w:rPr>
          <w:rFonts w:ascii="Consolas" w:hAnsi="Consolas"/>
          <w:sz w:val="16"/>
        </w:rPr>
        <w:t>platform-observability/</w:t>
        <w:br/>
        <w:t xml:space="preserve">  logging/</w:t>
        <w:br/>
        <w:t xml:space="preserve">    StructuredLog.java</w:t>
        <w:br/>
        <w:t xml:space="preserve">    CorrelationContext.java</w:t>
        <w:br/>
        <w:t xml:space="preserve">  metrics/</w:t>
        <w:br/>
        <w:t xml:space="preserve">    StrategyMetrics.java</w:t>
        <w:br/>
        <w:t xml:space="preserve">    MailboxMetrics.java</w:t>
        <w:br/>
        <w:t xml:space="preserve">    TradeMetrics.java</w:t>
        <w:br/>
        <w:t xml:space="preserve">  tracing/</w:t>
        <w:br/>
        <w:t xml:space="preserve">    TraceContext.java</w:t>
        <w:br/>
        <w:t xml:space="preserve">  health/</w:t>
        <w:br/>
        <w:t xml:space="preserve">    ReadinessIndicator.java</w:t>
        <w:br/>
        <w:t xml:space="preserve">    LivenessIndicator.java</w:t>
        <w:br/>
        <w:t xml:space="preserve">  audit/</w:t>
        <w:br/>
        <w:t xml:space="preserve">    OperationalAuditService.java</w:t>
      </w:r>
    </w:p>
    <w:p>
      <w:pPr>
        <w:pStyle w:val="Heading1"/>
      </w:pPr>
      <w:r>
        <w:t>33. Acceptance Criteria</w:t>
      </w:r>
    </w:p>
    <w:p>
      <w:pPr>
        <w:pStyle w:val="ListBullet"/>
      </w:pPr>
      <w:r>
        <w:t>Operators can determine whether market observations are arriving and being persisted.</w:t>
      </w:r>
    </w:p>
    <w:p>
      <w:pPr>
        <w:pStyle w:val="ListBullet"/>
      </w:pPr>
      <w:r>
        <w:t>Operators can identify mailbox backlog and oldest-event age by execution scope.</w:t>
      </w:r>
    </w:p>
    <w:p>
      <w:pPr>
        <w:pStyle w:val="ListBullet"/>
      </w:pPr>
      <w:r>
        <w:t>Same-key concurrency violations are observable and alertable.</w:t>
      </w:r>
    </w:p>
    <w:p>
      <w:pPr>
        <w:pStyle w:val="ListBullet"/>
      </w:pPr>
      <w:r>
        <w:t>A trade can be traced back to its candidate, rule trace, indicator state and triggering observation.</w:t>
      </w:r>
    </w:p>
    <w:p>
      <w:pPr>
        <w:pStyle w:val="ListBullet"/>
      </w:pPr>
      <w:r>
        <w:t>Risk and trade lifecycle states are visible without direct container access.</w:t>
      </w:r>
    </w:p>
    <w:p>
      <w:pPr>
        <w:pStyle w:val="ListBullet"/>
      </w:pPr>
      <w:r>
        <w:t>Critical services expose liveness and readiness separately.</w:t>
      </w:r>
    </w:p>
    <w:p>
      <w:pPr>
        <w:pStyle w:val="ListBullet"/>
      </w:pPr>
      <w:r>
        <w:t>Service restart/drain behavior is observable.</w:t>
      </w:r>
    </w:p>
    <w:p>
      <w:pPr>
        <w:pStyle w:val="ListBullet"/>
      </w:pPr>
      <w:r>
        <w:t>Reconciliation backlog and aged execution states are visible.</w:t>
      </w:r>
    </w:p>
    <w:p>
      <w:pPr>
        <w:pStyle w:val="ListBullet"/>
      </w:pPr>
      <w:r>
        <w:t>Replay and regression telemetry is separated from live trading telemetry.</w:t>
      </w:r>
    </w:p>
    <w:p>
      <w:pPr>
        <w:pStyle w:val="ListBullet"/>
      </w:pPr>
      <w:r>
        <w:t>Operational controls are authenticated, authorized and audited.</w:t>
      </w:r>
    </w:p>
    <w:p>
      <w:pPr>
        <w:pStyle w:val="ListBullet"/>
      </w:pPr>
      <w:r>
        <w:t>Logs do not expose secrets.</w:t>
      </w:r>
    </w:p>
    <w:p>
      <w:pPr>
        <w:pStyle w:val="ListBullet"/>
      </w:pPr>
      <w:r>
        <w:t>AI usage/cost is observable and remains strictly on demand.</w:t>
      </w:r>
    </w:p>
    <w:p>
      <w:pPr>
        <w:pStyle w:val="ListBullet"/>
      </w:pPr>
      <w:r>
        <w:t>IST business timestamps are consistently displayed while source/canonical timestamps remain available.</w:t>
      </w:r>
    </w:p>
    <w:p>
      <w:pPr>
        <w:pStyle w:val="Heading1"/>
      </w:pPr>
      <w:r>
        <w:t>34. Dependencies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Document</w:t>
            </w:r>
          </w:p>
        </w:tc>
        <w:tc>
          <w:tcPr>
            <w:tcW w:type="dxa" w:w="5040"/>
          </w:tcPr>
          <w:p>
            <w:r>
              <w:t>Relationship</w:t>
            </w:r>
          </w:p>
        </w:tc>
      </w:tr>
      <w:tr>
        <w:tc>
          <w:tcPr>
            <w:tcW w:type="dxa" w:w="5040"/>
          </w:tcPr>
          <w:p>
            <w:r>
              <w:t>07.5 Workflow Engine</w:t>
            </w:r>
          </w:p>
        </w:tc>
        <w:tc>
          <w:tcPr>
            <w:tcW w:type="dxa" w:w="5040"/>
          </w:tcPr>
          <w:p>
            <w:r>
              <w:t>Evaluation and mailbox metrics</w:t>
            </w:r>
          </w:p>
        </w:tc>
      </w:tr>
      <w:tr>
        <w:tc>
          <w:tcPr>
            <w:tcW w:type="dxa" w:w="5040"/>
          </w:tcPr>
          <w:p>
            <w:r>
              <w:t>07.6 Rule Engine</w:t>
            </w:r>
          </w:p>
        </w:tc>
        <w:tc>
          <w:tcPr>
            <w:tcW w:type="dxa" w:w="5040"/>
          </w:tcPr>
          <w:p>
            <w:r>
              <w:t>Rule traces/outcomes</w:t>
            </w:r>
          </w:p>
        </w:tc>
      </w:tr>
      <w:tr>
        <w:tc>
          <w:tcPr>
            <w:tcW w:type="dxa" w:w="5040"/>
          </w:tcPr>
          <w:p>
            <w:r>
              <w:t>07.7 Indicator Engine</w:t>
            </w:r>
          </w:p>
        </w:tc>
        <w:tc>
          <w:tcPr>
            <w:tcW w:type="dxa" w:w="5040"/>
          </w:tcPr>
          <w:p>
            <w:r>
              <w:t>Indicator readiness/metrics</w:t>
            </w:r>
          </w:p>
        </w:tc>
      </w:tr>
      <w:tr>
        <w:tc>
          <w:tcPr>
            <w:tcW w:type="dxa" w:w="5040"/>
          </w:tcPr>
          <w:p>
            <w:r>
              <w:t>07.8 Allocation and Risk Engine</w:t>
            </w:r>
          </w:p>
        </w:tc>
        <w:tc>
          <w:tcPr>
            <w:tcW w:type="dxa" w:w="5040"/>
          </w:tcPr>
          <w:p>
            <w:r>
              <w:t>Decision and reservation telemetry</w:t>
            </w:r>
          </w:p>
        </w:tc>
      </w:tr>
      <w:tr>
        <w:tc>
          <w:tcPr>
            <w:tcW w:type="dxa" w:w="5040"/>
          </w:tcPr>
          <w:p>
            <w:r>
              <w:t>07.9 Trade Lifecycle Manager</w:t>
            </w:r>
          </w:p>
        </w:tc>
        <w:tc>
          <w:tcPr>
            <w:tcW w:type="dxa" w:w="5040"/>
          </w:tcPr>
          <w:p>
            <w:r>
              <w:t>Trade/execution/reconciliation telemetry</w:t>
            </w:r>
          </w:p>
        </w:tc>
      </w:tr>
      <w:tr>
        <w:tc>
          <w:tcPr>
            <w:tcW w:type="dxa" w:w="5040"/>
          </w:tcPr>
          <w:p>
            <w:r>
              <w:t>07.10 Replay and Simulation Engine</w:t>
            </w:r>
          </w:p>
        </w:tc>
        <w:tc>
          <w:tcPr>
            <w:tcW w:type="dxa" w:w="5040"/>
          </w:tcPr>
          <w:p>
            <w:r>
              <w:t>Replay operational telemetry</w:t>
            </w:r>
          </w:p>
        </w:tc>
      </w:tr>
      <w:tr>
        <w:tc>
          <w:tcPr>
            <w:tcW w:type="dxa" w:w="5040"/>
          </w:tcPr>
          <w:p>
            <w:r>
              <w:t>07.11 Regression Test Framework</w:t>
            </w:r>
          </w:p>
        </w:tc>
        <w:tc>
          <w:tcPr>
            <w:tcW w:type="dxa" w:w="5040"/>
          </w:tcPr>
          <w:p>
            <w:r>
              <w:t>Regression reporting</w:t>
            </w:r>
          </w:p>
        </w:tc>
      </w:tr>
      <w:tr>
        <w:tc>
          <w:tcPr>
            <w:tcW w:type="dxa" w:w="5040"/>
          </w:tcPr>
          <w:p>
            <w:r>
              <w:t>07.12 Strategy Repository</w:t>
            </w:r>
          </w:p>
        </w:tc>
        <w:tc>
          <w:tcPr>
            <w:tcW w:type="dxa" w:w="5040"/>
          </w:tcPr>
          <w:p>
            <w:r>
              <w:t>Version/configuration/audit metadata</w:t>
            </w:r>
          </w:p>
        </w:tc>
      </w:tr>
      <w:tr>
        <w:tc>
          <w:tcPr>
            <w:tcW w:type="dxa" w:w="5040"/>
          </w:tcPr>
          <w:p>
            <w:r>
              <w:t>07.13 Sequence Diagrams</w:t>
            </w:r>
          </w:p>
        </w:tc>
        <w:tc>
          <w:tcPr>
            <w:tcW w:type="dxa" w:w="5040"/>
          </w:tcPr>
          <w:p>
            <w:r>
              <w:t>Correlation flow</w:t>
            </w:r>
          </w:p>
        </w:tc>
      </w:tr>
      <w:tr>
        <w:tc>
          <w:tcPr>
            <w:tcW w:type="dxa" w:w="5040"/>
          </w:tcPr>
          <w:p>
            <w:r>
              <w:t>07.14 State Machines</w:t>
            </w:r>
          </w:p>
        </w:tc>
        <w:tc>
          <w:tcPr>
            <w:tcW w:type="dxa" w:w="5040"/>
          </w:tcPr>
          <w:p>
            <w:r>
              <w:t>State-oriented monitoring</w:t>
            </w:r>
          </w:p>
        </w:tc>
      </w:tr>
    </w:tbl>
    <w:p>
      <w:pPr>
        <w:pStyle w:val="Heading1"/>
      </w:pPr>
      <w:r>
        <w:t>Conclusion</w:t>
      </w:r>
    </w:p>
    <w:p>
      <w:r>
        <w:t>Operations and observability are part of the trading architecture, not an afterthought. The primary operational chain is observation freshness → mailbox backlog → evaluation latency → candidate/risk decision → trade lifecycle → reconciliation. The design provides manual monitoring and debugging without direct server access, while preserving the Execution Mailbox / Partition Manager invariant and durable observation history. Cloud Run revisions, managed persistence/cache, structured telemetry and audited operational controls provide a practical operating model. AI explanations remain strictly user-triggered and are monitored as a separate, non-critical capability.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