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07.18 – Implementation Guidelines</w:t>
      </w:r>
    </w:p>
    <w:p>
      <w:pPr>
        <w:jc w:val="center"/>
      </w:pPr>
      <w:r>
        <w:rPr>
          <w:b/>
        </w:rPr>
        <w:t>Profit-Bees Strategy Platform | Version 1.0 – Review Draft</w:t>
      </w:r>
    </w:p>
    <w:p>
      <w:r>
        <w:t>Purpose: Translate the strategy-platform architecture into implementation rules that engineering teams can apply consistently across services, runtime components, persistence, messaging, deployment, testing, observability and operational controls.</w:t>
      </w:r>
    </w:p>
    <w:p>
      <w:r>
        <w:t>This document consolidates the implementation implications of Documents 07.01–07.17. It is a practical engineering guide, not a replacement for the detailed LLDs and API contracts.</w:t>
      </w:r>
    </w:p>
    <w:p>
      <w:pPr>
        <w:pStyle w:val="Heading1"/>
      </w:pPr>
      <w:r>
        <w:t>1. Implementation Principles</w:t>
      </w:r>
    </w:p>
    <w:p>
      <w:pPr>
        <w:pStyle w:val="ListBullet"/>
      </w:pPr>
      <w:r>
        <w:t>Keep strategy semantics deterministic, explicit and versioned.</w:t>
      </w:r>
    </w:p>
    <w:p>
      <w:pPr>
        <w:pStyle w:val="ListBullet"/>
      </w:pPr>
      <w:r>
        <w:t>Keep the high-frequency evaluation path free of unnecessary database/network calls.</w:t>
      </w:r>
    </w:p>
    <w:p>
      <w:pPr>
        <w:pStyle w:val="ListBullet"/>
      </w:pPr>
      <w:r>
        <w:t>Persist every normalized market observation according to the observation-store contract, including observations that do not generate trade candidates.</w:t>
      </w:r>
    </w:p>
    <w:p>
      <w:pPr>
        <w:pStyle w:val="ListBullet"/>
      </w:pPr>
      <w:r>
        <w:t>Serialize stateful processing by EvaluationKey = StrategyExecutionId + InstrumentId through the Execution Mailbox / Partition Manager.</w:t>
      </w:r>
    </w:p>
    <w:p>
      <w:pPr>
        <w:pStyle w:val="ListBullet"/>
      </w:pPr>
      <w:r>
        <w:t>Allow parallelism only across independent EvaluationKeys.</w:t>
      </w:r>
    </w:p>
    <w:p>
      <w:pPr>
        <w:pStyle w:val="ListBullet"/>
      </w:pPr>
      <w:r>
        <w:t>Separate strategy decisioning, allocation/risk, trade lifecycle and broker integration.</w:t>
      </w:r>
    </w:p>
    <w:p>
      <w:pPr>
        <w:pStyle w:val="ListBullet"/>
      </w:pPr>
      <w:r>
        <w:t>Use immutable published strategy/policy versions for reproducibility.</w:t>
      </w:r>
    </w:p>
    <w:p>
      <w:pPr>
        <w:pStyle w:val="ListBullet"/>
      </w:pPr>
      <w:r>
        <w:t>Treat replay/simulation as a first-class runtime mode, isolated from live execution.</w:t>
      </w:r>
    </w:p>
    <w:p>
      <w:pPr>
        <w:pStyle w:val="ListBullet"/>
      </w:pPr>
      <w:r>
        <w:t>Make observability part of every service contract.</w:t>
      </w:r>
    </w:p>
    <w:p>
      <w:pPr>
        <w:pStyle w:val="ListBullet"/>
      </w:pPr>
      <w:r>
        <w:t>Keep AI trade explanation strictly on demand and outside the trading path.</w:t>
      </w:r>
    </w:p>
    <w:p>
      <w:pPr>
        <w:pStyle w:val="Heading1"/>
      </w:pPr>
      <w:r>
        <w:t>2. Recommended Delivery Sequence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Implementation Focus</w:t>
            </w:r>
          </w:p>
        </w:tc>
        <w:tc>
          <w:tcPr>
            <w:tcW w:type="dxa" w:w="3360"/>
          </w:tcPr>
          <w:p>
            <w:r>
              <w:t>Exit Criteria</w:t>
            </w:r>
          </w:p>
        </w:tc>
      </w:tr>
      <w:tr>
        <w:tc>
          <w:tcPr>
            <w:tcW w:type="dxa" w:w="3360"/>
          </w:tcPr>
          <w:p>
            <w:r>
              <w:t>1</w:t>
            </w:r>
          </w:p>
        </w:tc>
        <w:tc>
          <w:tcPr>
            <w:tcW w:type="dxa" w:w="3360"/>
          </w:tcPr>
          <w:p>
            <w:r>
              <w:t>Platform foundations</w:t>
            </w:r>
          </w:p>
        </w:tc>
        <w:tc>
          <w:tcPr>
            <w:tcW w:type="dxa" w:w="3360"/>
          </w:tcPr>
          <w:p>
            <w:r>
              <w:t>Repository, common contracts, identity, logging, tracing and CI/CD available</w:t>
            </w:r>
          </w:p>
        </w:tc>
      </w:tr>
      <w:tr>
        <w:tc>
          <w:tcPr>
            <w:tcW w:type="dxa" w:w="3360"/>
          </w:tcPr>
          <w:p>
            <w:r>
              <w:t>2</w:t>
            </w:r>
          </w:p>
        </w:tc>
        <w:tc>
          <w:tcPr>
            <w:tcW w:type="dxa" w:w="3360"/>
          </w:tcPr>
          <w:p>
            <w:r>
              <w:t>Market observation path</w:t>
            </w:r>
          </w:p>
        </w:tc>
        <w:tc>
          <w:tcPr>
            <w:tcW w:type="dxa" w:w="3360"/>
          </w:tcPr>
          <w:p>
            <w:r>
              <w:t>Broker/data adapter → normalization → durable observation store</w:t>
            </w:r>
          </w:p>
        </w:tc>
      </w:tr>
      <w:tr>
        <w:tc>
          <w:tcPr>
            <w:tcW w:type="dxa" w:w="3360"/>
          </w:tcPr>
          <w:p>
            <w:r>
              <w:t>3</w:t>
            </w:r>
          </w:p>
        </w:tc>
        <w:tc>
          <w:tcPr>
            <w:tcW w:type="dxa" w:w="3360"/>
          </w:tcPr>
          <w:p>
            <w:r>
              <w:t>Mailbox/runtime</w:t>
            </w:r>
          </w:p>
        </w:tc>
        <w:tc>
          <w:tcPr>
            <w:tcW w:type="dxa" w:w="3360"/>
          </w:tcPr>
          <w:p>
            <w:r>
              <w:t>Execution Mailbox / Partition Manager with same-key ordering tests</w:t>
            </w:r>
          </w:p>
        </w:tc>
      </w:tr>
      <w:tr>
        <w:tc>
          <w:tcPr>
            <w:tcW w:type="dxa" w:w="3360"/>
          </w:tcPr>
          <w:p>
            <w:r>
              <w:t>4</w:t>
            </w:r>
          </w:p>
        </w:tc>
        <w:tc>
          <w:tcPr>
            <w:tcW w:type="dxa" w:w="3360"/>
          </w:tcPr>
          <w:p>
            <w:r>
              <w:t>Strategy model</w:t>
            </w:r>
          </w:p>
        </w:tc>
        <w:tc>
          <w:tcPr>
            <w:tcW w:type="dxa" w:w="3360"/>
          </w:tcPr>
          <w:p>
            <w:r>
              <w:t>DSL, repository, compiler and immutable executable plans</w:t>
            </w:r>
          </w:p>
        </w:tc>
      </w:tr>
      <w:tr>
        <w:tc>
          <w:tcPr>
            <w:tcW w:type="dxa" w:w="3360"/>
          </w:tcPr>
          <w:p>
            <w:r>
              <w:t>5</w:t>
            </w:r>
          </w:p>
        </w:tc>
        <w:tc>
          <w:tcPr>
            <w:tcW w:type="dxa" w:w="3360"/>
          </w:tcPr>
          <w:p>
            <w:r>
              <w:t>Evaluation</w:t>
            </w:r>
          </w:p>
        </w:tc>
        <w:tc>
          <w:tcPr>
            <w:tcW w:type="dxa" w:w="3360"/>
          </w:tcPr>
          <w:p>
            <w:r>
              <w:t>Indicator, Rule and Workflow engines</w:t>
            </w:r>
          </w:p>
        </w:tc>
      </w:tr>
      <w:tr>
        <w:tc>
          <w:tcPr>
            <w:tcW w:type="dxa" w:w="3360"/>
          </w:tcPr>
          <w:p>
            <w:r>
              <w:t>6</w:t>
            </w:r>
          </w:p>
        </w:tc>
        <w:tc>
          <w:tcPr>
            <w:tcW w:type="dxa" w:w="3360"/>
          </w:tcPr>
          <w:p>
            <w:r>
              <w:t>Risk/trade</w:t>
            </w:r>
          </w:p>
        </w:tc>
        <w:tc>
          <w:tcPr>
            <w:tcW w:type="dxa" w:w="3360"/>
          </w:tcPr>
          <w:p>
            <w:r>
              <w:t>Allocation &amp; Risk and Trade Lifecycle Manager</w:t>
            </w:r>
          </w:p>
        </w:tc>
      </w:tr>
      <w:tr>
        <w:tc>
          <w:tcPr>
            <w:tcW w:type="dxa" w:w="3360"/>
          </w:tcPr>
          <w:p>
            <w:r>
              <w:t>7</w:t>
            </w:r>
          </w:p>
        </w:tc>
        <w:tc>
          <w:tcPr>
            <w:tcW w:type="dxa" w:w="3360"/>
          </w:tcPr>
          <w:p>
            <w:r>
              <w:t>Simulation/replay</w:t>
            </w:r>
          </w:p>
        </w:tc>
        <w:tc>
          <w:tcPr>
            <w:tcW w:type="dxa" w:w="3360"/>
          </w:tcPr>
          <w:p>
            <w:r>
              <w:t>Deterministic replay and simulated execution</w:t>
            </w:r>
          </w:p>
        </w:tc>
      </w:tr>
      <w:tr>
        <w:tc>
          <w:tcPr>
            <w:tcW w:type="dxa" w:w="3360"/>
          </w:tcPr>
          <w:p>
            <w:r>
              <w:t>8</w:t>
            </w:r>
          </w:p>
        </w:tc>
        <w:tc>
          <w:tcPr>
            <w:tcW w:type="dxa" w:w="3360"/>
          </w:tcPr>
          <w:p>
            <w:r>
              <w:t>Regression</w:t>
            </w:r>
          </w:p>
        </w:tc>
        <w:tc>
          <w:tcPr>
            <w:tcW w:type="dxa" w:w="3360"/>
          </w:tcPr>
          <w:p>
            <w:r>
              <w:t>Golden scenarios, burst tests and release gates</w:t>
            </w:r>
          </w:p>
        </w:tc>
      </w:tr>
      <w:tr>
        <w:tc>
          <w:tcPr>
            <w:tcW w:type="dxa" w:w="3360"/>
          </w:tcPr>
          <w:p>
            <w:r>
              <w:t>9</w:t>
            </w:r>
          </w:p>
        </w:tc>
        <w:tc>
          <w:tcPr>
            <w:tcW w:type="dxa" w:w="3360"/>
          </w:tcPr>
          <w:p>
            <w:r>
              <w:t>Operations</w:t>
            </w:r>
          </w:p>
        </w:tc>
        <w:tc>
          <w:tcPr>
            <w:tcW w:type="dxa" w:w="3360"/>
          </w:tcPr>
          <w:p>
            <w:r>
              <w:t>Dashboards, alerts, runbooks and operational controls</w:t>
            </w:r>
          </w:p>
        </w:tc>
      </w:tr>
      <w:tr>
        <w:tc>
          <w:tcPr>
            <w:tcW w:type="dxa" w:w="3360"/>
          </w:tcPr>
          <w:p>
            <w:r>
              <w:t>10</w:t>
            </w:r>
          </w:p>
        </w:tc>
        <w:tc>
          <w:tcPr>
            <w:tcW w:type="dxa" w:w="3360"/>
          </w:tcPr>
          <w:p>
            <w:r>
              <w:t>Extensions</w:t>
            </w:r>
          </w:p>
        </w:tc>
        <w:tc>
          <w:tcPr>
            <w:tcW w:type="dxa" w:w="3360"/>
          </w:tcPr>
          <w:p>
            <w:r>
              <w:t>Plugin framework and on-demand AI assistant</w:t>
            </w:r>
          </w:p>
        </w:tc>
      </w:tr>
    </w:tbl>
    <w:p>
      <w:pPr>
        <w:pStyle w:val="Heading1"/>
      </w:pPr>
      <w:r>
        <w:t>3. Service Boundary Guidelines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Must Own</w:t>
            </w:r>
          </w:p>
        </w:tc>
        <w:tc>
          <w:tcPr>
            <w:tcW w:type="dxa" w:w="3360"/>
          </w:tcPr>
          <w:p>
            <w:r>
              <w:t>Must Not Own</w:t>
            </w:r>
          </w:p>
        </w:tc>
      </w:tr>
      <w:tr>
        <w:tc>
          <w:tcPr>
            <w:tcW w:type="dxa" w:w="3360"/>
          </w:tcPr>
          <w:p>
            <w:r>
              <w:t>Normalizer</w:t>
            </w:r>
          </w:p>
        </w:tc>
        <w:tc>
          <w:tcPr>
            <w:tcW w:type="dxa" w:w="3360"/>
          </w:tcPr>
          <w:p>
            <w:r>
              <w:t>Vendor event → normalized observation</w:t>
            </w:r>
          </w:p>
        </w:tc>
        <w:tc>
          <w:tcPr>
            <w:tcW w:type="dxa" w:w="3360"/>
          </w:tcPr>
          <w:p>
            <w:r>
              <w:t>Strategy decisions</w:t>
            </w:r>
          </w:p>
        </w:tc>
      </w:tr>
      <w:tr>
        <w:tc>
          <w:tcPr>
            <w:tcW w:type="dxa" w:w="3360"/>
          </w:tcPr>
          <w:p>
            <w:r>
              <w:t>Observation Store</w:t>
            </w:r>
          </w:p>
        </w:tc>
        <w:tc>
          <w:tcPr>
            <w:tcW w:type="dxa" w:w="3360"/>
          </w:tcPr>
          <w:p>
            <w:r>
              <w:t>Durable normalized observations</w:t>
            </w:r>
          </w:p>
        </w:tc>
        <w:tc>
          <w:tcPr>
            <w:tcW w:type="dxa" w:w="3360"/>
          </w:tcPr>
          <w:p>
            <w:r>
              <w:t>Trade generation</w:t>
            </w:r>
          </w:p>
        </w:tc>
      </w:tr>
      <w:tr>
        <w:tc>
          <w:tcPr>
            <w:tcW w:type="dxa" w:w="3360"/>
          </w:tcPr>
          <w:p>
            <w:r>
              <w:t>Dispatcher</w:t>
            </w:r>
          </w:p>
        </w:tc>
        <w:tc>
          <w:tcPr>
            <w:tcW w:type="dxa" w:w="3360"/>
          </w:tcPr>
          <w:p>
            <w:r>
              <w:t>Delivery to mailbox/stream</w:t>
            </w:r>
          </w:p>
        </w:tc>
        <w:tc>
          <w:tcPr>
            <w:tcW w:type="dxa" w:w="3360"/>
          </w:tcPr>
          <w:p>
            <w:r>
              <w:t>Rule semantics</w:t>
            </w:r>
          </w:p>
        </w:tc>
      </w:tr>
      <w:tr>
        <w:tc>
          <w:tcPr>
            <w:tcW w:type="dxa" w:w="3360"/>
          </w:tcPr>
          <w:p>
            <w:r>
              <w:t>Execution Mailbox</w:t>
            </w:r>
          </w:p>
        </w:tc>
        <w:tc>
          <w:tcPr>
            <w:tcW w:type="dxa" w:w="3360"/>
          </w:tcPr>
          <w:p>
            <w:r>
              <w:t>Per-key ordering/ownership</w:t>
            </w:r>
          </w:p>
        </w:tc>
        <w:tc>
          <w:tcPr>
            <w:tcW w:type="dxa" w:w="3360"/>
          </w:tcPr>
          <w:p>
            <w:r>
              <w:t>Risk decisions</w:t>
            </w:r>
          </w:p>
        </w:tc>
      </w:tr>
      <w:tr>
        <w:tc>
          <w:tcPr>
            <w:tcW w:type="dxa" w:w="3360"/>
          </w:tcPr>
          <w:p>
            <w:r>
              <w:t>Workflow Engine</w:t>
            </w:r>
          </w:p>
        </w:tc>
        <w:tc>
          <w:tcPr>
            <w:tcW w:type="dxa" w:w="3360"/>
          </w:tcPr>
          <w:p>
            <w:r>
              <w:t>Evaluation orchestration/state transitions</w:t>
            </w:r>
          </w:p>
        </w:tc>
        <w:tc>
          <w:tcPr>
            <w:tcW w:type="dxa" w:w="3360"/>
          </w:tcPr>
          <w:p>
            <w:r>
              <w:t>Vendor SDK calls</w:t>
            </w:r>
          </w:p>
        </w:tc>
      </w:tr>
      <w:tr>
        <w:tc>
          <w:tcPr>
            <w:tcW w:type="dxa" w:w="3360"/>
          </w:tcPr>
          <w:p>
            <w:r>
              <w:t>Indicator Engine</w:t>
            </w:r>
          </w:p>
        </w:tc>
        <w:tc>
          <w:tcPr>
            <w:tcW w:type="dxa" w:w="3360"/>
          </w:tcPr>
          <w:p>
            <w:r>
              <w:t>Indicator state/calculation</w:t>
            </w:r>
          </w:p>
        </w:tc>
        <w:tc>
          <w:tcPr>
            <w:tcW w:type="dxa" w:w="3360"/>
          </w:tcPr>
          <w:p>
            <w:r>
              <w:t>Trade lifecycle</w:t>
            </w:r>
          </w:p>
        </w:tc>
      </w:tr>
      <w:tr>
        <w:tc>
          <w:tcPr>
            <w:tcW w:type="dxa" w:w="3360"/>
          </w:tcPr>
          <w:p>
            <w:r>
              <w:t>Rule Engine</w:t>
            </w:r>
          </w:p>
        </w:tc>
        <w:tc>
          <w:tcPr>
            <w:tcW w:type="dxa" w:w="3360"/>
          </w:tcPr>
          <w:p>
            <w:r>
              <w:t>Deterministic rule evaluation</w:t>
            </w:r>
          </w:p>
        </w:tc>
        <w:tc>
          <w:tcPr>
            <w:tcW w:type="dxa" w:w="3360"/>
          </w:tcPr>
          <w:p>
            <w:r>
              <w:t>External side effects</w:t>
            </w:r>
          </w:p>
        </w:tc>
      </w:tr>
      <w:tr>
        <w:tc>
          <w:tcPr>
            <w:tcW w:type="dxa" w:w="3360"/>
          </w:tcPr>
          <w:p>
            <w:r>
              <w:t>Allocation &amp; Risk</w:t>
            </w:r>
          </w:p>
        </w:tc>
        <w:tc>
          <w:tcPr>
            <w:tcW w:type="dxa" w:w="3360"/>
          </w:tcPr>
          <w:p>
            <w:r>
              <w:t>Quantity/exposure/constraint decisions</w:t>
            </w:r>
          </w:p>
        </w:tc>
        <w:tc>
          <w:tcPr>
            <w:tcW w:type="dxa" w:w="3360"/>
          </w:tcPr>
          <w:p>
            <w:r>
              <w:t>Strategy rule semantics</w:t>
            </w:r>
          </w:p>
        </w:tc>
      </w:tr>
      <w:tr>
        <w:tc>
          <w:tcPr>
            <w:tcW w:type="dxa" w:w="3360"/>
          </w:tcPr>
          <w:p>
            <w:r>
              <w:t>Trade Lifecycle</w:t>
            </w:r>
          </w:p>
        </w:tc>
        <w:tc>
          <w:tcPr>
            <w:tcW w:type="dxa" w:w="3360"/>
          </w:tcPr>
          <w:p>
            <w:r>
              <w:t>Trade/fill/position lifecycle</w:t>
            </w:r>
          </w:p>
        </w:tc>
        <w:tc>
          <w:tcPr>
            <w:tcW w:type="dxa" w:w="3360"/>
          </w:tcPr>
          <w:p>
            <w:r>
              <w:t>Strategy selection</w:t>
            </w:r>
          </w:p>
        </w:tc>
      </w:tr>
      <w:tr>
        <w:tc>
          <w:tcPr>
            <w:tcW w:type="dxa" w:w="3360"/>
          </w:tcPr>
          <w:p>
            <w:r>
              <w:t>Broker Adapter</w:t>
            </w:r>
          </w:p>
        </w:tc>
        <w:tc>
          <w:tcPr>
            <w:tcW w:type="dxa" w:w="3360"/>
          </w:tcPr>
          <w:p>
            <w:r>
              <w:t>Vendor request/response translation</w:t>
            </w:r>
          </w:p>
        </w:tc>
        <w:tc>
          <w:tcPr>
            <w:tcW w:type="dxa" w:w="3360"/>
          </w:tcPr>
          <w:p>
            <w:r>
              <w:t>Strategy/risk decisions</w:t>
            </w:r>
          </w:p>
        </w:tc>
      </w:tr>
      <w:tr>
        <w:tc>
          <w:tcPr>
            <w:tcW w:type="dxa" w:w="3360"/>
          </w:tcPr>
          <w:p>
            <w:r>
              <w:t>Replay Engine</w:t>
            </w:r>
          </w:p>
        </w:tc>
        <w:tc>
          <w:tcPr>
            <w:tcW w:type="dxa" w:w="3360"/>
          </w:tcPr>
          <w:p>
            <w:r>
              <w:t>Virtual-time replay orchestration</w:t>
            </w:r>
          </w:p>
        </w:tc>
        <w:tc>
          <w:tcPr>
            <w:tcW w:type="dxa" w:w="3360"/>
          </w:tcPr>
          <w:p>
            <w:r>
              <w:t>Live order placement</w:t>
            </w:r>
          </w:p>
        </w:tc>
      </w:tr>
      <w:tr>
        <w:tc>
          <w:tcPr>
            <w:tcW w:type="dxa" w:w="3360"/>
          </w:tcPr>
          <w:p>
            <w:r>
              <w:t>AI Assistant</w:t>
            </w:r>
          </w:p>
        </w:tc>
        <w:tc>
          <w:tcPr>
            <w:tcW w:type="dxa" w:w="3360"/>
          </w:tcPr>
          <w:p>
            <w:r>
              <w:t>User-requested explanation</w:t>
            </w:r>
          </w:p>
        </w:tc>
        <w:tc>
          <w:tcPr>
            <w:tcW w:type="dxa" w:w="3360"/>
          </w:tcPr>
          <w:p>
            <w:r>
              <w:t>Trade generation/approval</w:t>
            </w:r>
          </w:p>
        </w:tc>
      </w:tr>
    </w:tbl>
    <w:p>
      <w:pPr>
        <w:pStyle w:val="Heading1"/>
      </w:pPr>
      <w:r>
        <w:t>4. Domain Model Rules</w:t>
      </w:r>
    </w:p>
    <w:p>
      <w:pPr>
        <w:pStyle w:val="ListBullet"/>
      </w:pPr>
      <w:r>
        <w:t>Use stable UUID/internal identifiers for core entities.</w:t>
      </w:r>
    </w:p>
    <w:p>
      <w:pPr>
        <w:pStyle w:val="ListBullet"/>
      </w:pPr>
      <w:r>
        <w:t>Use explicit version numbers for StrategyVersion, CompiledPlan, AllocationPolicyVersion and RiskPolicyVersion.</w:t>
      </w:r>
    </w:p>
    <w:p>
      <w:pPr>
        <w:pStyle w:val="ListBullet"/>
      </w:pPr>
      <w:r>
        <w:t>Capture content hashes/fingerprints for immutable artifacts.</w:t>
      </w:r>
    </w:p>
    <w:p>
      <w:pPr>
        <w:pStyle w:val="ListBullet"/>
      </w:pPr>
      <w:r>
        <w:t>Use typed domain objects rather than passing generic maps between core services.</w:t>
      </w:r>
    </w:p>
    <w:p>
      <w:pPr>
        <w:pStyle w:val="ListBullet"/>
      </w:pPr>
      <w:r>
        <w:t>Separate domain state from transport DTOs.</w:t>
      </w:r>
    </w:p>
    <w:p>
      <w:pPr>
        <w:pStyle w:val="ListBullet"/>
      </w:pPr>
      <w:r>
        <w:t>Use explicit status enums and centralized transition validation.</w:t>
      </w:r>
    </w:p>
    <w:p>
      <w:pPr>
        <w:pStyle w:val="ListBullet"/>
      </w:pPr>
      <w:r>
        <w:t>Do not expose vendor SDK objects beyond plugin/adapter boundaries.</w:t>
      </w:r>
    </w:p>
    <w:p>
      <w:pPr>
        <w:pStyle w:val="Heading1"/>
      </w:pPr>
      <w:r>
        <w:t>5. Strategy Definition Implementation</w:t>
      </w:r>
    </w:p>
    <w:p>
      <w:r>
        <w:rPr>
          <w:rFonts w:ascii="Consolas" w:hAnsi="Consolas"/>
          <w:sz w:val="16"/>
        </w:rPr>
        <w:t>Strategy</w:t>
        <w:br/>
        <w:t xml:space="preserve">  └── StrategyVersion</w:t>
        <w:br/>
        <w:t xml:space="preserve">        ├── DSL</w:t>
        <w:br/>
        <w:t xml:space="preserve">        ├── Parameters</w:t>
        <w:br/>
        <w:t xml:space="preserve">        ├── CompiledPlan</w:t>
        <w:br/>
        <w:t xml:space="preserve">        └── Indicator Dependencies</w:t>
        <w:br/>
        <w:br/>
        <w:t>StrategyExecution</w:t>
        <w:br/>
        <w:t xml:space="preserve">  ├── StrategyVersion</w:t>
        <w:br/>
        <w:t xml:space="preserve">  ├── Instrument</w:t>
        <w:br/>
        <w:t xml:space="preserve">  ├── Parameter Overrides</w:t>
        <w:br/>
        <w:t xml:space="preserve">  ├── Evaluation Policy</w:t>
        <w:br/>
        <w:t xml:space="preserve">  ├── Allocation Policy Version</w:t>
        <w:br/>
        <w:t xml:space="preserve">  └── Risk Policy Version</w:t>
      </w:r>
    </w:p>
    <w:p>
      <w:pPr>
        <w:pStyle w:val="ListBullet"/>
      </w:pPr>
      <w:r>
        <w:t>Draft versions are editable.</w:t>
      </w:r>
    </w:p>
    <w:p>
      <w:pPr>
        <w:pStyle w:val="ListBullet"/>
      </w:pPr>
      <w:r>
        <w:t>Published versions are immutable.</w:t>
      </w:r>
    </w:p>
    <w:p>
      <w:pPr>
        <w:pStyle w:val="ListBullet"/>
      </w:pPr>
      <w:r>
        <w:t>Every active execution points to an exact published version.</w:t>
      </w:r>
    </w:p>
    <w:p>
      <w:pPr>
        <w:pStyle w:val="ListBullet"/>
      </w:pPr>
      <w:r>
        <w:t>Changing behavior creates a new version.</w:t>
      </w:r>
    </w:p>
    <w:p>
      <w:pPr>
        <w:pStyle w:val="ListBullet"/>
      </w:pPr>
      <w:r>
        <w:t>Do not let runtime services silently resolve “latest version”.</w:t>
      </w:r>
    </w:p>
    <w:p>
      <w:pPr>
        <w:pStyle w:val="Heading1"/>
      </w:pPr>
      <w:r>
        <w:t>6. DSL and Compiler Rules</w:t>
      </w:r>
    </w:p>
    <w:p>
      <w:pPr>
        <w:pStyle w:val="ListBullet"/>
      </w:pPr>
      <w:r>
        <w:t>DSL must express business strategy semantics, not infrastructure concerns.</w:t>
      </w:r>
    </w:p>
    <w:p>
      <w:pPr>
        <w:pStyle w:val="ListBullet"/>
      </w:pPr>
      <w:r>
        <w:t>Use a constrained grammar and typed semantic model.</w:t>
      </w:r>
    </w:p>
    <w:p>
      <w:pPr>
        <w:pStyle w:val="ListBullet"/>
      </w:pPr>
      <w:r>
        <w:t>Reject unsupported/unsafe constructs during compilation.</w:t>
      </w:r>
    </w:p>
    <w:p>
      <w:pPr>
        <w:pStyle w:val="ListBullet"/>
      </w:pPr>
      <w:r>
        <w:t>Compile into an explicit ExecutablePlan.</w:t>
      </w:r>
    </w:p>
    <w:p>
      <w:pPr>
        <w:pStyle w:val="ListBullet"/>
      </w:pPr>
      <w:r>
        <w:t>Record compiler version, plan schema version and plan fingerprint.</w:t>
      </w:r>
    </w:p>
    <w:p>
      <w:pPr>
        <w:pStyle w:val="ListBullet"/>
      </w:pPr>
      <w:r>
        <w:t>Extract required observation fields and indicator dependencies during compilation.</w:t>
      </w:r>
    </w:p>
    <w:p>
      <w:pPr>
        <w:pStyle w:val="ListBullet"/>
      </w:pPr>
      <w:r>
        <w:t>Do not compile arbitrary Java, reflection or user-supplied executable code.</w:t>
      </w:r>
    </w:p>
    <w:p>
      <w:pPr>
        <w:pStyle w:val="ListBullet"/>
      </w:pPr>
      <w:r>
        <w:t>Compiler changes that alter semantics require regression-baseline review.</w:t>
      </w:r>
    </w:p>
    <w:p>
      <w:pPr>
        <w:pStyle w:val="Heading1"/>
      </w:pPr>
      <w:r>
        <w:t>7. Runtime Evaluation Contract</w:t>
      </w:r>
    </w:p>
    <w:p>
      <w:r>
        <w:rPr>
          <w:rFonts w:ascii="Consolas" w:hAnsi="Consolas"/>
          <w:sz w:val="16"/>
        </w:rPr>
        <w:t>NormalizedObservation</w:t>
        <w:br/>
        <w:t xml:space="preserve">        ↓</w:t>
        <w:br/>
        <w:t>EvaluationContext</w:t>
        <w:br/>
        <w:t xml:space="preserve">  ├── Observation</w:t>
        <w:br/>
        <w:t xml:space="preserve">  ├── IndicatorSnapshot</w:t>
        <w:br/>
        <w:t xml:space="preserve">  ├── StrategyState</w:t>
        <w:br/>
        <w:t xml:space="preserve">  ├── PositionState</w:t>
        <w:br/>
        <w:t xml:space="preserve">  ├── Relevant Parameters</w:t>
        <w:br/>
        <w:t xml:space="preserve">  └── Virtual/Wall Clock</w:t>
        <w:br/>
        <w:t xml:space="preserve">        ↓</w:t>
        <w:br/>
        <w:t>Rule Evaluation</w:t>
        <w:br/>
        <w:t xml:space="preserve">        ↓</w:t>
        <w:br/>
        <w:t>Workflow Transition</w:t>
        <w:br/>
        <w:t xml:space="preserve">        ↓</w:t>
        <w:br/>
        <w:t>CandidateIntent | No Candidate</w:t>
      </w:r>
    </w:p>
    <w:p>
      <w:r>
        <w:t>The Rule Engine should not fetch data from arbitrary services during rule evaluation. Required context is assembled by the Workflow/runtime boundary.</w:t>
      </w:r>
    </w:p>
    <w:p>
      <w:pPr>
        <w:pStyle w:val="Heading1"/>
      </w:pPr>
      <w:r>
        <w:t>8. Execution Mailbox / Partition Manager</w:t>
      </w:r>
    </w:p>
    <w:p>
      <w:r>
        <w:t>This is a mandatory runtime design decision for stateful strategy evaluation.</w:t>
      </w:r>
    </w:p>
    <w:p>
      <w:pPr>
        <w:pStyle w:val="ListBullet"/>
      </w:pPr>
      <w:r>
        <w:t>Define EvaluationKey consistently as StrategyExecutionId + InstrumentId.</w:t>
      </w:r>
    </w:p>
    <w:p>
      <w:pPr>
        <w:pStyle w:val="ListBullet"/>
      </w:pPr>
      <w:r>
        <w:t>Hash/route the key to a partition.</w:t>
      </w:r>
    </w:p>
    <w:p>
      <w:pPr>
        <w:pStyle w:val="ListBullet"/>
      </w:pPr>
      <w:r>
        <w:t>Only one evaluation for a key may be in flight.</w:t>
      </w:r>
    </w:p>
    <w:p>
      <w:pPr>
        <w:pStyle w:val="ListBullet"/>
      </w:pPr>
      <w:r>
        <w:t>Queue subsequent observations for the same key.</w:t>
      </w:r>
    </w:p>
    <w:p>
      <w:pPr>
        <w:pStyle w:val="ListBullet"/>
      </w:pPr>
      <w:r>
        <w:t>Permit different keys to execute concurrently.</w:t>
      </w:r>
    </w:p>
    <w:p>
      <w:pPr>
        <w:pStyle w:val="ListBullet"/>
      </w:pPr>
      <w:r>
        <w:t>Track sequence/order information where supplied by the market-data source.</w:t>
      </w:r>
    </w:p>
    <w:p>
      <w:pPr>
        <w:pStyle w:val="ListBullet"/>
      </w:pPr>
      <w:r>
        <w:t>Bound queue growth and define explicit overflow/coalescing behavior.</w:t>
      </w:r>
    </w:p>
    <w:p>
      <w:pPr>
        <w:pStyle w:val="ListBullet"/>
      </w:pPr>
      <w:r>
        <w:t>Do not solve same-key serialization through accidental container affinity.</w:t>
      </w:r>
    </w:p>
    <w:p>
      <w:r>
        <w:rPr>
          <w:rFonts w:ascii="Consolas" w:hAnsi="Consolas"/>
          <w:sz w:val="16"/>
        </w:rPr>
        <w:t>producer → partition(key) → per-key queue → worker</w:t>
        <w:br/>
        <w:t xml:space="preserve">                         ├→ key A: serial</w:t>
        <w:br/>
        <w:t xml:space="preserve">                         ├→ key B: serial</w:t>
        <w:br/>
        <w:t xml:space="preserve">                         └→ key C: serial</w:t>
        <w:br/>
        <w:t xml:space="preserve">                    A/B/C may run concurrently</w:t>
      </w:r>
    </w:p>
    <w:p>
      <w:pPr>
        <w:pStyle w:val="Heading1"/>
      </w:pPr>
      <w:r>
        <w:t>9. Tick Burst Handling</w:t>
      </w:r>
    </w:p>
    <w:p>
      <w:r>
        <w:t>When ticks arrive milliseconds apart while evaluation is still running, the producer must continue to enqueue according to the configured policy. The consumer completes the current evaluation before taking the next observation for that key.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Situation</w:t>
            </w:r>
          </w:p>
        </w:tc>
        <w:tc>
          <w:tcPr>
            <w:tcW w:type="dxa" w:w="5040"/>
          </w:tcPr>
          <w:p>
            <w:r>
              <w:t>Implementation</w:t>
            </w:r>
          </w:p>
        </w:tc>
      </w:tr>
      <w:tr>
        <w:tc>
          <w:tcPr>
            <w:tcW w:type="dxa" w:w="5040"/>
          </w:tcPr>
          <w:p>
            <w:r>
              <w:t>Exact EVERY_TICK strategy</w:t>
            </w:r>
          </w:p>
        </w:tc>
        <w:tc>
          <w:tcPr>
            <w:tcW w:type="dxa" w:w="5040"/>
          </w:tcPr>
          <w:p>
            <w:r>
              <w:t>Preserve every accepted observation in evaluation order</w:t>
            </w:r>
          </w:p>
        </w:tc>
      </w:tr>
      <w:tr>
        <w:tc>
          <w:tcPr>
            <w:tcW w:type="dxa" w:w="5040"/>
          </w:tcPr>
          <w:p>
            <w:r>
              <w:t>Latest-only strategy</w:t>
            </w:r>
          </w:p>
        </w:tc>
        <w:tc>
          <w:tcPr>
            <w:tcW w:type="dxa" w:w="5040"/>
          </w:tcPr>
          <w:p>
            <w:r>
              <w:t>Explicitly allow replacement/coalescing</w:t>
            </w:r>
          </w:p>
        </w:tc>
      </w:tr>
      <w:tr>
        <w:tc>
          <w:tcPr>
            <w:tcW w:type="dxa" w:w="5040"/>
          </w:tcPr>
          <w:p>
            <w:r>
              <w:t>Window strategy</w:t>
            </w:r>
          </w:p>
        </w:tc>
        <w:tc>
          <w:tcPr>
            <w:tcW w:type="dxa" w:w="5040"/>
          </w:tcPr>
          <w:p>
            <w:r>
              <w:t>Preserve the information required by the window semantics</w:t>
            </w:r>
          </w:p>
        </w:tc>
      </w:tr>
      <w:tr>
        <w:tc>
          <w:tcPr>
            <w:tcW w:type="dxa" w:w="5040"/>
          </w:tcPr>
          <w:p>
            <w:r>
              <w:t>Queue pressure</w:t>
            </w:r>
          </w:p>
        </w:tc>
        <w:tc>
          <w:tcPr>
            <w:tcW w:type="dxa" w:w="5040"/>
          </w:tcPr>
          <w:p>
            <w:r>
              <w:t>Apply configured backpressure/overflow policy</w:t>
            </w:r>
          </w:p>
        </w:tc>
      </w:tr>
      <w:tr>
        <w:tc>
          <w:tcPr>
            <w:tcW w:type="dxa" w:w="5040"/>
          </w:tcPr>
          <w:p>
            <w:r>
              <w:t>Stale observation</w:t>
            </w:r>
          </w:p>
        </w:tc>
        <w:tc>
          <w:tcPr>
            <w:tcW w:type="dxa" w:w="5040"/>
          </w:tcPr>
          <w:p>
            <w:r>
              <w:t>Apply strategy/data-quality policy, do not silently reinterpret</w:t>
            </w:r>
          </w:p>
        </w:tc>
      </w:tr>
    </w:tbl>
    <w:p>
      <w:r>
        <w:t>Coalescing is a semantic decision. It must not be introduced as an invisible performance optimization.</w:t>
      </w:r>
    </w:p>
    <w:p>
      <w:pPr>
        <w:pStyle w:val="Heading1"/>
      </w:pPr>
      <w:r>
        <w:t>10. Normalized Market Observation Storage</w:t>
      </w:r>
    </w:p>
    <w:p>
      <w:r>
        <w:t>Persist normalized observations independently from candidate/trade generation. A FALSE rule outcome does not mean the observation can be discarded.</w:t>
      </w:r>
    </w:p>
    <w:p>
      <w:pPr>
        <w:pStyle w:val="ListBullet"/>
      </w:pPr>
      <w:r>
        <w:t>Store event/source time and platform receipt time.</w:t>
      </w:r>
    </w:p>
    <w:p>
      <w:pPr>
        <w:pStyle w:val="ListBullet"/>
      </w:pPr>
      <w:r>
        <w:t>Use sufficient precision for ordering.</w:t>
      </w:r>
    </w:p>
    <w:p>
      <w:pPr>
        <w:pStyle w:val="ListBullet"/>
      </w:pPr>
      <w:r>
        <w:t>Retain instrument/source identifiers and observation ID.</w:t>
      </w:r>
    </w:p>
    <w:p>
      <w:pPr>
        <w:pStyle w:val="ListBullet"/>
      </w:pPr>
      <w:r>
        <w:t>Support replay retrieval by instrument/time range/sequence where required.</w:t>
      </w:r>
    </w:p>
    <w:p>
      <w:pPr>
        <w:pStyle w:val="ListBullet"/>
      </w:pPr>
      <w:r>
        <w:t>Separate high-volume observation storage from the Strategy Repository.</w:t>
      </w:r>
    </w:p>
    <w:p>
      <w:pPr>
        <w:pStyle w:val="ListBullet"/>
      </w:pPr>
      <w:r>
        <w:t>Define retention and archival policy independently of trade retention.</w:t>
      </w:r>
    </w:p>
    <w:p>
      <w:pPr>
        <w:pStyle w:val="Heading1"/>
      </w:pPr>
      <w:r>
        <w:t>11. Indicator Engine Rules</w:t>
      </w:r>
    </w:p>
    <w:p>
      <w:pPr>
        <w:pStyle w:val="ListBullet"/>
      </w:pPr>
      <w:r>
        <w:t>Indicators own their calculation state.</w:t>
      </w:r>
    </w:p>
    <w:p>
      <w:pPr>
        <w:pStyle w:val="ListBullet"/>
      </w:pPr>
      <w:r>
        <w:t>Expose explicit readiness/warm-up status.</w:t>
      </w:r>
    </w:p>
    <w:p>
      <w:pPr>
        <w:pStyle w:val="ListBullet"/>
      </w:pPr>
      <w:r>
        <w:t>Do not treat missing/invalid values as valid zero values.</w:t>
      </w:r>
    </w:p>
    <w:p>
      <w:pPr>
        <w:pStyle w:val="ListBullet"/>
      </w:pPr>
      <w:r>
        <w:t>Use deterministic calculations and explicit rounding/precision rules.</w:t>
      </w:r>
    </w:p>
    <w:p>
      <w:pPr>
        <w:pStyle w:val="ListBullet"/>
      </w:pPr>
      <w:r>
        <w:t>Declare input dependencies and parameters.</w:t>
      </w:r>
    </w:p>
    <w:p>
      <w:pPr>
        <w:pStyle w:val="ListBullet"/>
      </w:pPr>
      <w:r>
        <w:t>Support reset/session-boundary semantics.</w:t>
      </w:r>
    </w:p>
    <w:p>
      <w:pPr>
        <w:pStyle w:val="ListBullet"/>
      </w:pPr>
      <w:r>
        <w:t>Support checkpoint/rebuild where runtime recovery requires it.</w:t>
      </w:r>
    </w:p>
    <w:p>
      <w:pPr>
        <w:pStyle w:val="ListBullet"/>
      </w:pPr>
      <w:r>
        <w:t>Validate live-vs-replay parity with golden streams.</w:t>
      </w:r>
    </w:p>
    <w:p>
      <w:pPr>
        <w:pStyle w:val="Heading1"/>
      </w:pPr>
      <w:r>
        <w:t>12. Rule Engine Rules</w:t>
      </w:r>
    </w:p>
    <w:p>
      <w:pPr>
        <w:pStyle w:val="ListBullet"/>
      </w:pPr>
      <w:r>
        <w:t>Keep rule evaluation side-effect free.</w:t>
      </w:r>
    </w:p>
    <w:p>
      <w:pPr>
        <w:pStyle w:val="ListBullet"/>
      </w:pPr>
      <w:r>
        <w:t>Use typed operands and explicit operator semantics.</w:t>
      </w:r>
    </w:p>
    <w:p>
      <w:pPr>
        <w:pStyle w:val="ListBullet"/>
      </w:pPr>
      <w:r>
        <w:t>Distinguish TRUE, FALSE and UNKNOWN where DSL semantics require it.</w:t>
      </w:r>
    </w:p>
    <w:p>
      <w:pPr>
        <w:pStyle w:val="ListBullet"/>
      </w:pPr>
      <w:r>
        <w:t>Produce a RuleTrace sufficient for manual debugging and regression.</w:t>
      </w:r>
    </w:p>
    <w:p>
      <w:pPr>
        <w:pStyle w:val="ListBullet"/>
      </w:pPr>
      <w:r>
        <w:t>Do not call broker, database or AI services from rule evaluation.</w:t>
      </w:r>
    </w:p>
    <w:p>
      <w:pPr>
        <w:pStyle w:val="ListBullet"/>
      </w:pPr>
      <w:r>
        <w:t>Test boundary operators such as &gt;, &gt;=, &lt; and &lt;= explicitly.</w:t>
      </w:r>
    </w:p>
    <w:p>
      <w:pPr>
        <w:pStyle w:val="ListBullet"/>
      </w:pPr>
      <w:r>
        <w:t>Test range inclusivity and stateful watermark conditions.</w:t>
      </w:r>
    </w:p>
    <w:p>
      <w:pPr>
        <w:pStyle w:val="Heading1"/>
      </w:pPr>
      <w:r>
        <w:t>13. Buy-Low / Sell-Target Implementation Pattern</w:t>
      </w:r>
    </w:p>
    <w:p>
      <w:r>
        <w:rPr>
          <w:rFonts w:ascii="Consolas" w:hAnsi="Consolas"/>
          <w:sz w:val="16"/>
        </w:rPr>
        <w:t>Parameters:</w:t>
        <w:br/>
        <w:t xml:space="preserve">  buyMin=1240</w:t>
        <w:br/>
        <w:t xml:space="preserve">  buyMax=1255</w:t>
        <w:br/>
        <w:t xml:space="preserve">  reversal=3</w:t>
        <w:br/>
        <w:t xml:space="preserve">  target=2%</w:t>
        <w:br/>
        <w:br/>
        <w:t>Observation 1245:</w:t>
        <w:br/>
        <w:t xml:space="preserve">  lowWatermark := 1245</w:t>
        <w:br/>
        <w:br/>
        <w:t>Observation 1248:</w:t>
        <w:br/>
        <w:t xml:space="preserve">  reversal condition satisfied</w:t>
        <w:br/>
        <w:t xml:space="preserve">  → CandidateIntent(BUY)</w:t>
        <w:br/>
        <w:br/>
        <w:t>Allocation/Risk:</w:t>
        <w:br/>
        <w:t xml:space="preserve">  → APPROVED / RESIZED / REJECTED</w:t>
        <w:br/>
        <w:br/>
        <w:t>If BUY fills:</w:t>
        <w:br/>
        <w:t xml:space="preserve">  position := OPEN</w:t>
        <w:br/>
        <w:t xml:space="preserve">  targetPrice := entryPrice * 1.02</w:t>
        <w:br/>
        <w:br/>
        <w:t>Later observation &gt;= targetPrice:</w:t>
        <w:br/>
        <w:t xml:space="preserve">  → EXIT CandidateIntent</w:t>
        <w:br/>
        <w:t xml:space="preserve">  → Allocation/Risk</w:t>
        <w:br/>
        <w:t xml:space="preserve">  → Trade Lifecycle</w:t>
        <w:br/>
        <w:t xml:space="preserve">  → Position CLOSED after exit fill</w:t>
      </w:r>
    </w:p>
    <w:p>
      <w:r>
        <w:t>The exact transition rules are defined by the strategy DSL and compiled plan; the example is a canonical implementation scenario for regression testing.</w:t>
      </w:r>
    </w:p>
    <w:p>
      <w:pPr>
        <w:pStyle w:val="Heading1"/>
      </w:pPr>
      <w:r>
        <w:t>14. CandidateIntent Contract</w:t>
      </w:r>
    </w:p>
    <w:p>
      <w:r>
        <w:rPr>
          <w:rFonts w:ascii="Consolas" w:hAnsi="Consolas"/>
          <w:sz w:val="16"/>
        </w:rPr>
        <w:t>CandidateIntent {</w:t>
        <w:br/>
        <w:t xml:space="preserve">  candidateIntentId</w:t>
        <w:br/>
        <w:t xml:space="preserve">  strategyExecutionId</w:t>
        <w:br/>
        <w:t xml:space="preserve">  strategyVersion</w:t>
        <w:br/>
        <w:t xml:space="preserve">  instrumentId</w:t>
        <w:br/>
        <w:t xml:space="preserve">  side</w:t>
        <w:br/>
        <w:t xml:space="preserve">  requestedQuantity / allocationRequest</w:t>
        <w:br/>
        <w:t xml:space="preserve">  reasonCode</w:t>
        <w:br/>
        <w:t xml:space="preserve">  ruleTraceReference</w:t>
        <w:br/>
        <w:t xml:space="preserve">  observationId</w:t>
        <w:br/>
        <w:t xml:space="preserve">  evaluationTimestamp</w:t>
        <w:br/>
        <w:t xml:space="preserve">  correlationId</w:t>
        <w:br/>
        <w:t>}</w:t>
      </w:r>
    </w:p>
    <w:p>
      <w:pPr>
        <w:pStyle w:val="ListBullet"/>
      </w:pPr>
      <w:r>
        <w:t>CandidateIntent is a proposal, not an order.</w:t>
      </w:r>
    </w:p>
    <w:p>
      <w:pPr>
        <w:pStyle w:val="ListBullet"/>
      </w:pPr>
      <w:r>
        <w:t>It must be idempotently identifiable.</w:t>
      </w:r>
    </w:p>
    <w:p>
      <w:pPr>
        <w:pStyle w:val="ListBullet"/>
      </w:pPr>
      <w:r>
        <w:t>It references the evidence that caused the candidate.</w:t>
      </w:r>
    </w:p>
    <w:p>
      <w:pPr>
        <w:pStyle w:val="ListBullet"/>
      </w:pPr>
      <w:r>
        <w:t>Allocation/Risk remains the authority for permission and sizing.</w:t>
      </w:r>
    </w:p>
    <w:p>
      <w:pPr>
        <w:pStyle w:val="Heading1"/>
      </w:pPr>
      <w:r>
        <w:t>15. Allocation and Risk</w:t>
      </w:r>
    </w:p>
    <w:p>
      <w:pPr>
        <w:pStyle w:val="ListBullet"/>
      </w:pPr>
      <w:r>
        <w:t>Keep allocation and risk decisions independent from strategy rule evaluation.</w:t>
      </w:r>
    </w:p>
    <w:p>
      <w:pPr>
        <w:pStyle w:val="ListBullet"/>
      </w:pPr>
      <w:r>
        <w:t>Use an atomic reservation or equivalent mechanism for shared capital/exposure.</w:t>
      </w:r>
    </w:p>
    <w:p>
      <w:pPr>
        <w:pStyle w:val="ListBullet"/>
      </w:pPr>
      <w:r>
        <w:t>Return explicit APPROVED, RESIZED or REJECTED outcomes with reason codes.</w:t>
      </w:r>
    </w:p>
    <w:p>
      <w:pPr>
        <w:pStyle w:val="ListBullet"/>
      </w:pPr>
      <w:r>
        <w:t>Capture policy version and portfolio snapshot/version.</w:t>
      </w:r>
    </w:p>
    <w:p>
      <w:pPr>
        <w:pStyle w:val="ListBullet"/>
      </w:pPr>
      <w:r>
        <w:t>Do not allow stale mandatory risk state to become an implicit approval.</w:t>
      </w:r>
    </w:p>
    <w:p>
      <w:pPr>
        <w:pStyle w:val="ListBullet"/>
      </w:pPr>
      <w:r>
        <w:t>Make duplicate CandidateIntent processing idempotent.</w:t>
      </w:r>
    </w:p>
    <w:p>
      <w:pPr>
        <w:pStyle w:val="Heading1"/>
      </w:pPr>
      <w:r>
        <w:t>16. Trade Lifecycle</w:t>
      </w:r>
    </w:p>
    <w:p>
      <w:pPr>
        <w:pStyle w:val="ListBullet"/>
      </w:pPr>
      <w:r>
        <w:t>Create a durable trade identity before external execution where appropriate.</w:t>
      </w:r>
    </w:p>
    <w:p>
      <w:pPr>
        <w:pStyle w:val="ListBullet"/>
      </w:pPr>
      <w:r>
        <w:t>Use explicit lifecycle transition validation.</w:t>
      </w:r>
    </w:p>
    <w:p>
      <w:pPr>
        <w:pStyle w:val="ListBullet"/>
      </w:pPr>
      <w:r>
        <w:t>Normalize broker acknowledgements/fills/rejections.</w:t>
      </w:r>
    </w:p>
    <w:p>
      <w:pPr>
        <w:pStyle w:val="ListBullet"/>
      </w:pPr>
      <w:r>
        <w:t>Support partial fills.</w:t>
      </w:r>
    </w:p>
    <w:p>
      <w:pPr>
        <w:pStyle w:val="ListBullet"/>
      </w:pPr>
      <w:r>
        <w:t>Deduplicate execution updates using external execution/event identity.</w:t>
      </w:r>
    </w:p>
    <w:p>
      <w:pPr>
        <w:pStyle w:val="ListBullet"/>
      </w:pPr>
      <w:r>
        <w:t>Do not infer success/failure solely from network timeout.</w:t>
      </w:r>
    </w:p>
    <w:p>
      <w:pPr>
        <w:pStyle w:val="ListBullet"/>
      </w:pPr>
      <w:r>
        <w:t>Use reconciliation for ambiguous external state.</w:t>
      </w:r>
    </w:p>
    <w:p>
      <w:pPr>
        <w:pStyle w:val="ListBullet"/>
      </w:pPr>
      <w:r>
        <w:t>Update positions from authoritative normalized fills.</w:t>
      </w:r>
    </w:p>
    <w:p>
      <w:pPr>
        <w:pStyle w:val="Heading1"/>
      </w:pPr>
      <w:r>
        <w:t>17. Broker Integration</w:t>
      </w:r>
    </w:p>
    <w:p>
      <w:r>
        <w:t>Vendor/broker JARs belong behind the Broker Execution Adapter / Plugin boundary.</w:t>
      </w:r>
    </w:p>
    <w:p>
      <w:pPr>
        <w:pStyle w:val="ListBullet"/>
      </w:pPr>
      <w:r>
        <w:t>Core services depend only on platform interfaces.</w:t>
      </w:r>
    </w:p>
    <w:p>
      <w:pPr>
        <w:pStyle w:val="ListBullet"/>
      </w:pPr>
      <w:r>
        <w:t>Keep vendor-specific DTOs and exceptions inside the adapter.</w:t>
      </w:r>
    </w:p>
    <w:p>
      <w:pPr>
        <w:pStyle w:val="ListBullet"/>
      </w:pPr>
      <w:r>
        <w:t>Record broker adapter and SDK versions for provenance.</w:t>
      </w:r>
    </w:p>
    <w:p>
      <w:pPr>
        <w:pStyle w:val="ListBullet"/>
      </w:pPr>
      <w:r>
        <w:t>Apply bounded timeout/retry/rate-limit policies.</w:t>
      </w:r>
    </w:p>
    <w:p>
      <w:pPr>
        <w:pStyle w:val="ListBullet"/>
      </w:pPr>
      <w:r>
        <w:t>Do not put vendor credentials into strategy configuration.</w:t>
      </w:r>
    </w:p>
    <w:p>
      <w:pPr>
        <w:pStyle w:val="ListBullet"/>
      </w:pPr>
      <w:r>
        <w:t>Keep live and simulation adapters separate.</w:t>
      </w:r>
    </w:p>
    <w:p>
      <w:pPr>
        <w:pStyle w:val="Heading1"/>
      </w:pPr>
      <w:r>
        <w:t>18. Plugin Framework Rules</w:t>
      </w:r>
    </w:p>
    <w:p>
      <w:pPr>
        <w:pStyle w:val="ListBullet"/>
      </w:pPr>
      <w:r>
        <w:t>Every plugin has a manifest, type, API version, capability list and checksum/signature.</w:t>
      </w:r>
    </w:p>
    <w:p>
      <w:pPr>
        <w:pStyle w:val="ListBullet"/>
      </w:pPr>
      <w:r>
        <w:t>Only approved plugin versions can be enabled.</w:t>
      </w:r>
    </w:p>
    <w:p>
      <w:pPr>
        <w:pStyle w:val="ListBullet"/>
      </w:pPr>
      <w:r>
        <w:t>Resolve capabilities before strategy execution activation.</w:t>
      </w:r>
    </w:p>
    <w:p>
      <w:pPr>
        <w:pStyle w:val="ListBullet"/>
      </w:pPr>
      <w:r>
        <w:t>Pin plugin versions where reproducibility requires it.</w:t>
      </w:r>
    </w:p>
    <w:p>
      <w:pPr>
        <w:pStyle w:val="ListBullet"/>
      </w:pPr>
      <w:r>
        <w:t>Use container/process isolation for complex vendor SDKs.</w:t>
      </w:r>
    </w:p>
    <w:p>
      <w:pPr>
        <w:pStyle w:val="ListBullet"/>
      </w:pPr>
      <w:r>
        <w:t>Plugin failure cannot bypass risk or lifecycle controls.</w:t>
      </w:r>
    </w:p>
    <w:p>
      <w:pPr>
        <w:pStyle w:val="ListBullet"/>
      </w:pPr>
      <w:r>
        <w:t>Plugin lifecycle changes are audited.</w:t>
      </w:r>
    </w:p>
    <w:p>
      <w:pPr>
        <w:pStyle w:val="Heading1"/>
      </w:pPr>
      <w:r>
        <w:t>19. Replay and Simulation</w:t>
      </w:r>
    </w:p>
    <w:p>
      <w:r>
        <w:rPr>
          <w:rFonts w:ascii="Consolas" w:hAnsi="Consolas"/>
          <w:sz w:val="16"/>
        </w:rPr>
        <w:t>ReplayRun</w:t>
        <w:br/>
        <w:t xml:space="preserve">  ↓ freeze:</w:t>
        <w:br/>
        <w:t xml:space="preserve">  strategy version</w:t>
        <w:br/>
        <w:t xml:space="preserve">  plan fingerprint</w:t>
        <w:br/>
        <w:t xml:space="preserve">  allocation policy</w:t>
        <w:br/>
        <w:t xml:space="preserve">  risk policy</w:t>
        <w:br/>
        <w:t xml:space="preserve">  plugin/simulation versions</w:t>
        <w:br/>
        <w:t xml:space="preserve">  simulation assumptions</w:t>
        <w:br/>
        <w:t xml:space="preserve">  ↓</w:t>
        <w:br/>
        <w:t>normalized observations</w:t>
        <w:br/>
        <w:t xml:space="preserve">  ↓</w:t>
        <w:br/>
        <w:t>same mailbox/runtime semantics</w:t>
        <w:br/>
        <w:t xml:space="preserve">  ↓</w:t>
        <w:br/>
        <w:t>simulated lifecycle</w:t>
      </w:r>
    </w:p>
    <w:p>
      <w:pPr>
        <w:pStyle w:val="ListBullet"/>
      </w:pPr>
      <w:r>
        <w:t>Use virtual time for time-dependent strategies.</w:t>
      </w:r>
    </w:p>
    <w:p>
      <w:pPr>
        <w:pStyle w:val="ListBullet"/>
      </w:pPr>
      <w:r>
        <w:t>Do not use live broker credentials.</w:t>
      </w:r>
    </w:p>
    <w:p>
      <w:pPr>
        <w:pStyle w:val="ListBullet"/>
      </w:pPr>
      <w:r>
        <w:t>Use deterministic simulation inputs and assumptions.</w:t>
      </w:r>
    </w:p>
    <w:p>
      <w:pPr>
        <w:pStyle w:val="ListBullet"/>
      </w:pPr>
      <w:r>
        <w:t>Persist run metadata and checkpoint state.</w:t>
      </w:r>
    </w:p>
    <w:p>
      <w:pPr>
        <w:pStyle w:val="ListBullet"/>
      </w:pPr>
      <w:r>
        <w:t>Ensure resume does not duplicate business effects.</w:t>
      </w:r>
    </w:p>
    <w:p>
      <w:pPr>
        <w:pStyle w:val="Heading1"/>
      </w:pPr>
      <w:r>
        <w:t>20. Regression Framework</w:t>
      </w:r>
    </w:p>
    <w:p>
      <w:pPr>
        <w:pStyle w:val="ListBullet"/>
      </w:pPr>
      <w:r>
        <w:t>Maintain canonical synthetic scenarios.</w:t>
      </w:r>
    </w:p>
    <w:p>
      <w:pPr>
        <w:pStyle w:val="ListBullet"/>
      </w:pPr>
      <w:r>
        <w:t>Use golden outputs for indicators, rule outcomes, decisions and trades.</w:t>
      </w:r>
    </w:p>
    <w:p>
      <w:pPr>
        <w:pStyle w:val="ListBullet"/>
      </w:pPr>
      <w:r>
        <w:t>Run historical normalized observations selectively.</w:t>
      </w:r>
    </w:p>
    <w:p>
      <w:pPr>
        <w:pStyle w:val="ListBullet"/>
      </w:pPr>
      <w:r>
        <w:t>Test millisecond tick bursts.</w:t>
      </w:r>
    </w:p>
    <w:p>
      <w:pPr>
        <w:pStyle w:val="ListBullet"/>
      </w:pPr>
      <w:r>
        <w:t>Test same-key ordering and independent-key parallelism.</w:t>
      </w:r>
    </w:p>
    <w:p>
      <w:pPr>
        <w:pStyle w:val="ListBullet"/>
      </w:pPr>
      <w:r>
        <w:t>Test duplicate/out-of-order observations.</w:t>
      </w:r>
    </w:p>
    <w:p>
      <w:pPr>
        <w:pStyle w:val="ListBullet"/>
      </w:pPr>
      <w:r>
        <w:t>Test worker restart and checkpoint recovery.</w:t>
      </w:r>
    </w:p>
    <w:p>
      <w:pPr>
        <w:pStyle w:val="ListBullet"/>
      </w:pPr>
      <w:r>
        <w:t>Identify the first divergent artifact.</w:t>
      </w:r>
    </w:p>
    <w:p>
      <w:pPr>
        <w:pStyle w:val="ListBullet"/>
      </w:pPr>
      <w:r>
        <w:t>Block releases on critical semantic regressions.</w:t>
      </w:r>
    </w:p>
    <w:p>
      <w:pPr>
        <w:pStyle w:val="Heading1"/>
      </w:pPr>
      <w:r>
        <w:t>21. Database Implementation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Guideline</w:t>
            </w:r>
          </w:p>
        </w:tc>
      </w:tr>
      <w:tr>
        <w:tc>
          <w:tcPr>
            <w:tcW w:type="dxa" w:w="5040"/>
          </w:tcPr>
          <w:p>
            <w:r>
              <w:t>PostgreSQL</w:t>
            </w:r>
          </w:p>
        </w:tc>
        <w:tc>
          <w:tcPr>
            <w:tcW w:type="dxa" w:w="5040"/>
          </w:tcPr>
          <w:p>
            <w:r>
              <w:t>Transactional source of truth for strategy/configuration/domain state</w:t>
            </w:r>
          </w:p>
        </w:tc>
      </w:tr>
      <w:tr>
        <w:tc>
          <w:tcPr>
            <w:tcW w:type="dxa" w:w="5040"/>
          </w:tcPr>
          <w:p>
            <w:r>
              <w:t>JSONB</w:t>
            </w:r>
          </w:p>
        </w:tc>
        <w:tc>
          <w:tcPr>
            <w:tcW w:type="dxa" w:w="5040"/>
          </w:tcPr>
          <w:p>
            <w:r>
              <w:t>Bounded DSL/policy/config structures</w:t>
            </w:r>
          </w:p>
        </w:tc>
      </w:tr>
      <w:tr>
        <w:tc>
          <w:tcPr>
            <w:tcW w:type="dxa" w:w="5040"/>
          </w:tcPr>
          <w:p>
            <w:r>
              <w:t>Relational columns</w:t>
            </w:r>
          </w:p>
        </w:tc>
        <w:tc>
          <w:tcPr>
            <w:tcW w:type="dxa" w:w="5040"/>
          </w:tcPr>
          <w:p>
            <w:r>
              <w:t>IDs, status, version, timestamps and common predicates</w:t>
            </w:r>
          </w:p>
        </w:tc>
      </w:tr>
      <w:tr>
        <w:tc>
          <w:tcPr>
            <w:tcW w:type="dxa" w:w="5040"/>
          </w:tcPr>
          <w:p>
            <w:r>
              <w:t>Published strategy</w:t>
            </w:r>
          </w:p>
        </w:tc>
        <w:tc>
          <w:tcPr>
            <w:tcW w:type="dxa" w:w="5040"/>
          </w:tcPr>
          <w:p>
            <w:r>
              <w:t>Immutable</w:t>
            </w:r>
          </w:p>
        </w:tc>
      </w:tr>
      <w:tr>
        <w:tc>
          <w:tcPr>
            <w:tcW w:type="dxa" w:w="5040"/>
          </w:tcPr>
          <w:p>
            <w:r>
              <w:t>Optimistic locking</w:t>
            </w:r>
          </w:p>
        </w:tc>
        <w:tc>
          <w:tcPr>
            <w:tcW w:type="dxa" w:w="5040"/>
          </w:tcPr>
          <w:p>
            <w:r>
              <w:t>Protect concurrent authoring</w:t>
            </w:r>
          </w:p>
        </w:tc>
      </w:tr>
      <w:tr>
        <w:tc>
          <w:tcPr>
            <w:tcW w:type="dxa" w:w="5040"/>
          </w:tcPr>
          <w:p>
            <w:r>
              <w:t>Indexes</w:t>
            </w:r>
          </w:p>
        </w:tc>
        <w:tc>
          <w:tcPr>
            <w:tcW w:type="dxa" w:w="5040"/>
          </w:tcPr>
          <w:p>
            <w:r>
              <w:t>Based on actual repository/runtime-management query patterns</w:t>
            </w:r>
          </w:p>
        </w:tc>
      </w:tr>
      <w:tr>
        <w:tc>
          <w:tcPr>
            <w:tcW w:type="dxa" w:w="5040"/>
          </w:tcPr>
          <w:p>
            <w:r>
              <w:t>Migrations</w:t>
            </w:r>
          </w:p>
        </w:tc>
        <w:tc>
          <w:tcPr>
            <w:tcW w:type="dxa" w:w="5040"/>
          </w:tcPr>
          <w:p>
            <w:r>
              <w:t>Versioned and CI/CD controlled</w:t>
            </w:r>
          </w:p>
        </w:tc>
      </w:tr>
      <w:tr>
        <w:tc>
          <w:tcPr>
            <w:tcW w:type="dxa" w:w="5040"/>
          </w:tcPr>
          <w:p>
            <w:r>
              <w:t>Market observations</w:t>
            </w:r>
          </w:p>
        </w:tc>
        <w:tc>
          <w:tcPr>
            <w:tcW w:type="dxa" w:w="5040"/>
          </w:tcPr>
          <w:p>
            <w:r>
              <w:t>Dedicated high-volume observation store, not strategy repository</w:t>
            </w:r>
          </w:p>
        </w:tc>
      </w:tr>
    </w:tbl>
    <w:p>
      <w:pPr>
        <w:pStyle w:val="Heading1"/>
      </w:pPr>
      <w:r>
        <w:t>22. Timestamp Implementation</w:t>
      </w:r>
    </w:p>
    <w:p>
      <w:r>
        <w:t>Canonical timestamps should be stored as timezone-aware instants. Business-facing screens and reports that require IST must render the same instant in IST rather than changing the stored value.</w:t>
      </w:r>
    </w:p>
    <w:p>
      <w:pPr>
        <w:pStyle w:val="ListBullet"/>
      </w:pPr>
      <w:r>
        <w:t>Market event/source time</w:t>
      </w:r>
    </w:p>
    <w:p>
      <w:pPr>
        <w:pStyle w:val="ListBullet"/>
      </w:pPr>
      <w:r>
        <w:t>Platform receipt time</w:t>
      </w:r>
    </w:p>
    <w:p>
      <w:pPr>
        <w:pStyle w:val="ListBullet"/>
      </w:pPr>
      <w:r>
        <w:t>Evaluation start/end time</w:t>
      </w:r>
    </w:p>
    <w:p>
      <w:pPr>
        <w:pStyle w:val="ListBullet"/>
      </w:pPr>
      <w:r>
        <w:t>Trade state-transition time</w:t>
      </w:r>
    </w:p>
    <w:p>
      <w:pPr>
        <w:pStyle w:val="ListBullet"/>
      </w:pPr>
      <w:r>
        <w:t>Broker execution/fill time</w:t>
      </w:r>
    </w:p>
    <w:p>
      <w:pPr>
        <w:pStyle w:val="ListBullet"/>
      </w:pPr>
      <w:r>
        <w:t>Replay virtual time</w:t>
      </w:r>
    </w:p>
    <w:p>
      <w:r>
        <w:t>Regression assertions must define whether they compare event time, receipt time, virtual time or elapsed duration.</w:t>
      </w:r>
    </w:p>
    <w:p>
      <w:pPr>
        <w:pStyle w:val="Heading1"/>
      </w:pPr>
      <w:r>
        <w:t>23. API Design</w:t>
      </w:r>
    </w:p>
    <w:p>
      <w:pPr>
        <w:pStyle w:val="ListBullet"/>
      </w:pPr>
      <w:r>
        <w:t>Use resource-oriented APIs for strategy/repository management.</w:t>
      </w:r>
    </w:p>
    <w:p>
      <w:pPr>
        <w:pStyle w:val="ListBullet"/>
      </w:pPr>
      <w:r>
        <w:t>Use event contracts for high-frequency observation and execution-update flows.</w:t>
      </w:r>
    </w:p>
    <w:p>
      <w:pPr>
        <w:pStyle w:val="ListBullet"/>
      </w:pPr>
      <w:r>
        <w:t>Use idempotency keys for externally retried commands.</w:t>
      </w:r>
    </w:p>
    <w:p>
      <w:pPr>
        <w:pStyle w:val="ListBullet"/>
      </w:pPr>
      <w:r>
        <w:t>Propagate correlation IDs.</w:t>
      </w:r>
    </w:p>
    <w:p>
      <w:pPr>
        <w:pStyle w:val="ListBullet"/>
      </w:pPr>
      <w:r>
        <w:t>Return stable reason/error codes.</w:t>
      </w:r>
    </w:p>
    <w:p>
      <w:pPr>
        <w:pStyle w:val="ListBullet"/>
      </w:pPr>
      <w:r>
        <w:t>Do not expose internal vendor SDK types.</w:t>
      </w:r>
    </w:p>
    <w:p>
      <w:pPr>
        <w:pStyle w:val="ListBullet"/>
      </w:pPr>
      <w:r>
        <w:t>Version breaking API contracts explicitly.</w:t>
      </w:r>
    </w:p>
    <w:p>
      <w:pPr>
        <w:pStyle w:val="Heading1"/>
      </w:pPr>
      <w:r>
        <w:t>24. Event Contract Guidelines</w:t>
      </w:r>
    </w:p>
    <w:p>
      <w:r>
        <w:rPr>
          <w:rFonts w:ascii="Consolas" w:hAnsi="Consolas"/>
          <w:sz w:val="16"/>
        </w:rPr>
        <w:t>Event envelope:</w:t>
        <w:br/>
        <w:t xml:space="preserve">  eventId</w:t>
        <w:br/>
        <w:t xml:space="preserve">  eventType</w:t>
        <w:br/>
        <w:t xml:space="preserve">  schemaVersion</w:t>
        <w:br/>
        <w:t xml:space="preserve">  occurredAt</w:t>
        <w:br/>
        <w:t xml:space="preserve">  correlationId</w:t>
        <w:br/>
        <w:t xml:space="preserve">  causationId</w:t>
        <w:br/>
        <w:t xml:space="preserve">  source</w:t>
        <w:br/>
        <w:t xml:space="preserve">  payload</w:t>
      </w:r>
    </w:p>
    <w:p>
      <w:pPr>
        <w:pStyle w:val="ListBullet"/>
      </w:pPr>
      <w:r>
        <w:t>Use schema versioning.</w:t>
      </w:r>
    </w:p>
    <w:p>
      <w:pPr>
        <w:pStyle w:val="ListBullet"/>
      </w:pPr>
      <w:r>
        <w:t>Preserve causation/correlation relationships.</w:t>
      </w:r>
    </w:p>
    <w:p>
      <w:pPr>
        <w:pStyle w:val="ListBullet"/>
      </w:pPr>
      <w:r>
        <w:t>Do not rely on event arrival time as business event time.</w:t>
      </w:r>
    </w:p>
    <w:p>
      <w:pPr>
        <w:pStyle w:val="ListBullet"/>
      </w:pPr>
      <w:r>
        <w:t>Make consumers tolerant of duplicate delivery where required.</w:t>
      </w:r>
    </w:p>
    <w:p>
      <w:pPr>
        <w:pStyle w:val="ListBullet"/>
      </w:pPr>
      <w:r>
        <w:t>Keep event payloads bounded and domain-specific.</w:t>
      </w:r>
    </w:p>
    <w:p>
      <w:pPr>
        <w:pStyle w:val="Heading1"/>
      </w:pPr>
      <w:r>
        <w:t>25. Idempotency Rules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Operation</w:t>
            </w:r>
          </w:p>
        </w:tc>
        <w:tc>
          <w:tcPr>
            <w:tcW w:type="dxa" w:w="5040"/>
          </w:tcPr>
          <w:p>
            <w:r>
              <w:t>Idempotency Key</w:t>
            </w:r>
          </w:p>
        </w:tc>
      </w:tr>
      <w:tr>
        <w:tc>
          <w:tcPr>
            <w:tcW w:type="dxa" w:w="5040"/>
          </w:tcPr>
          <w:p>
            <w:r>
              <w:t>Normalized observation</w:t>
            </w:r>
          </w:p>
        </w:tc>
        <w:tc>
          <w:tcPr>
            <w:tcW w:type="dxa" w:w="5040"/>
          </w:tcPr>
          <w:p>
            <w:r>
              <w:t>observationId/source sequence</w:t>
            </w:r>
          </w:p>
        </w:tc>
      </w:tr>
      <w:tr>
        <w:tc>
          <w:tcPr>
            <w:tcW w:type="dxa" w:w="5040"/>
          </w:tcPr>
          <w:p>
            <w:r>
              <w:t>CandidateIntent</w:t>
            </w:r>
          </w:p>
        </w:tc>
        <w:tc>
          <w:tcPr>
            <w:tcW w:type="dxa" w:w="5040"/>
          </w:tcPr>
          <w:p>
            <w:r>
              <w:t>candidateIntentId</w:t>
            </w:r>
          </w:p>
        </w:tc>
      </w:tr>
      <w:tr>
        <w:tc>
          <w:tcPr>
            <w:tcW w:type="dxa" w:w="5040"/>
          </w:tcPr>
          <w:p>
            <w:r>
              <w:t>Risk reservation</w:t>
            </w:r>
          </w:p>
        </w:tc>
        <w:tc>
          <w:tcPr>
            <w:tcW w:type="dxa" w:w="5040"/>
          </w:tcPr>
          <w:p>
            <w:r>
              <w:t>decisionId/reservationId</w:t>
            </w:r>
          </w:p>
        </w:tc>
      </w:tr>
      <w:tr>
        <w:tc>
          <w:tcPr>
            <w:tcW w:type="dxa" w:w="5040"/>
          </w:tcPr>
          <w:p>
            <w:r>
              <w:t>Trade creation</w:t>
            </w:r>
          </w:p>
        </w:tc>
        <w:tc>
          <w:tcPr>
            <w:tcW w:type="dxa" w:w="5040"/>
          </w:tcPr>
          <w:p>
            <w:r>
              <w:t>tradeId/client order identity</w:t>
            </w:r>
          </w:p>
        </w:tc>
      </w:tr>
      <w:tr>
        <w:tc>
          <w:tcPr>
            <w:tcW w:type="dxa" w:w="5040"/>
          </w:tcPr>
          <w:p>
            <w:r>
              <w:t>Execution update</w:t>
            </w:r>
          </w:p>
        </w:tc>
        <w:tc>
          <w:tcPr>
            <w:tcW w:type="dxa" w:w="5040"/>
          </w:tcPr>
          <w:p>
            <w:r>
              <w:t>externalExecutionId + event ID</w:t>
            </w:r>
          </w:p>
        </w:tc>
      </w:tr>
      <w:tr>
        <w:tc>
          <w:tcPr>
            <w:tcW w:type="dxa" w:w="5040"/>
          </w:tcPr>
          <w:p>
            <w:r>
              <w:t>Replay checkpoint</w:t>
            </w:r>
          </w:p>
        </w:tc>
        <w:tc>
          <w:tcPr>
            <w:tcW w:type="dxa" w:w="5040"/>
          </w:tcPr>
          <w:p>
            <w:r>
              <w:t>runId + checkpoint sequence</w:t>
            </w:r>
          </w:p>
        </w:tc>
      </w:tr>
      <w:tr>
        <w:tc>
          <w:tcPr>
            <w:tcW w:type="dxa" w:w="5040"/>
          </w:tcPr>
          <w:p>
            <w:r>
              <w:t>AI explanation</w:t>
            </w:r>
          </w:p>
        </w:tc>
        <w:tc>
          <w:tcPr>
            <w:tcW w:type="dxa" w:w="5040"/>
          </w:tcPr>
          <w:p>
            <w:r>
              <w:t>explanationRequestId</w:t>
            </w:r>
          </w:p>
        </w:tc>
      </w:tr>
    </w:tbl>
    <w:p>
      <w:r>
        <w:t>Idempotency must be enforced at the business-effect boundary, not only in message transport.</w:t>
      </w:r>
    </w:p>
    <w:p>
      <w:pPr>
        <w:pStyle w:val="Heading1"/>
      </w:pPr>
      <w:r>
        <w:t>26. Error Handling</w:t>
      </w:r>
    </w:p>
    <w:p>
      <w:pPr>
        <w:pStyle w:val="ListBullet"/>
      </w:pPr>
      <w:r>
        <w:t>Classify errors as validation, business rejection, dependency failure, timeout, data-quality or unrecoverable system failure.</w:t>
      </w:r>
    </w:p>
    <w:p>
      <w:pPr>
        <w:pStyle w:val="ListBullet"/>
      </w:pPr>
      <w:r>
        <w:t>Do not retry business rejections blindly.</w:t>
      </w:r>
    </w:p>
    <w:p>
      <w:pPr>
        <w:pStyle w:val="ListBullet"/>
      </w:pPr>
      <w:r>
        <w:t>Use bounded retries for transient dependencies.</w:t>
      </w:r>
    </w:p>
    <w:p>
      <w:pPr>
        <w:pStyle w:val="ListBullet"/>
      </w:pPr>
      <w:r>
        <w:t>Use dead-letter/quarantine handling where appropriate.</w:t>
      </w:r>
    </w:p>
    <w:p>
      <w:pPr>
        <w:pStyle w:val="ListBullet"/>
      </w:pPr>
      <w:r>
        <w:t>Preserve original correlation and causation IDs.</w:t>
      </w:r>
    </w:p>
    <w:p>
      <w:pPr>
        <w:pStyle w:val="ListBullet"/>
      </w:pPr>
      <w:r>
        <w:t>Fail closed for safety-critical missing risk state where configured.</w:t>
      </w:r>
    </w:p>
    <w:p>
      <w:pPr>
        <w:pStyle w:val="ListBullet"/>
      </w:pPr>
      <w:r>
        <w:t>Make recovery observable.</w:t>
      </w:r>
    </w:p>
    <w:p>
      <w:pPr>
        <w:pStyle w:val="Heading1"/>
      </w:pPr>
      <w:r>
        <w:t>27. Security Guidelines</w:t>
      </w:r>
    </w:p>
    <w:p>
      <w:pPr>
        <w:pStyle w:val="ListBullet"/>
      </w:pPr>
      <w:r>
        <w:t>Use least-privilege service identities.</w:t>
      </w:r>
    </w:p>
    <w:p>
      <w:pPr>
        <w:pStyle w:val="ListBullet"/>
      </w:pPr>
      <w:r>
        <w:t>Keep secrets outside source code and strategy definitions.</w:t>
      </w:r>
    </w:p>
    <w:p>
      <w:pPr>
        <w:pStyle w:val="ListBullet"/>
      </w:pPr>
      <w:r>
        <w:t>Separate authoring, operational control and read-only roles.</w:t>
      </w:r>
    </w:p>
    <w:p>
      <w:pPr>
        <w:pStyle w:val="ListBullet"/>
      </w:pPr>
      <w:r>
        <w:t>Protect live execution credentials more strongly than simulation credentials.</w:t>
      </w:r>
    </w:p>
    <w:p>
      <w:pPr>
        <w:pStyle w:val="ListBullet"/>
      </w:pPr>
      <w:r>
        <w:t>Restrict plugin/network capabilities.</w:t>
      </w:r>
    </w:p>
    <w:p>
      <w:pPr>
        <w:pStyle w:val="ListBullet"/>
      </w:pPr>
      <w:r>
        <w:t>Validate DSL and plugin artifacts.</w:t>
      </w:r>
    </w:p>
    <w:p>
      <w:pPr>
        <w:pStyle w:val="ListBullet"/>
      </w:pPr>
      <w:r>
        <w:t>Audit publication, activation, disabling and live operational controls.</w:t>
      </w:r>
    </w:p>
    <w:p>
      <w:pPr>
        <w:pStyle w:val="ListBullet"/>
      </w:pPr>
      <w:r>
        <w:t>Never include credentials in logs or traces.</w:t>
      </w:r>
    </w:p>
    <w:p>
      <w:pPr>
        <w:pStyle w:val="Heading1"/>
      </w:pPr>
      <w:r>
        <w:t>28. Observability Requirements</w:t>
      </w:r>
    </w:p>
    <w:p>
      <w:r>
        <w:rPr>
          <w:rFonts w:ascii="Consolas" w:hAnsi="Consolas"/>
          <w:sz w:val="16"/>
        </w:rPr>
        <w:t>Every critical operation should answer:</w:t>
        <w:br/>
        <w:t xml:space="preserve">  WHAT happened?</w:t>
        <w:br/>
        <w:t xml:space="preserve">  WHERE?</w:t>
        <w:br/>
        <w:t xml:space="preserve">  WHEN?</w:t>
        <w:br/>
        <w:t xml:space="preserve">  FOR WHICH strategy/execution/instrument?</w:t>
        <w:br/>
        <w:t xml:space="preserve">  WHICH version/policy/plugin?</w:t>
        <w:br/>
        <w:t xml:space="preserve">  WHAT was the outcome?</w:t>
      </w:r>
    </w:p>
    <w:p>
      <w:pPr>
        <w:pStyle w:val="ListBullet"/>
      </w:pPr>
      <w:r>
        <w:t>Emit structured logs.</w:t>
      </w:r>
    </w:p>
    <w:p>
      <w:pPr>
        <w:pStyle w:val="ListBullet"/>
      </w:pPr>
      <w:r>
        <w:t>Instrument latency and outcome metrics.</w:t>
      </w:r>
    </w:p>
    <w:p>
      <w:pPr>
        <w:pStyle w:val="ListBullet"/>
      </w:pPr>
      <w:r>
        <w:t>Propagate distributed trace context.</w:t>
      </w:r>
    </w:p>
    <w:p>
      <w:pPr>
        <w:pStyle w:val="ListBullet"/>
      </w:pPr>
      <w:r>
        <w:t>Expose liveness/readiness separately.</w:t>
      </w:r>
    </w:p>
    <w:p>
      <w:pPr>
        <w:pStyle w:val="ListBullet"/>
      </w:pPr>
      <w:r>
        <w:t>Monitor mailbox queue depth and oldest-event age.</w:t>
      </w:r>
    </w:p>
    <w:p>
      <w:pPr>
        <w:pStyle w:val="ListBullet"/>
      </w:pPr>
      <w:r>
        <w:t>Monitor evaluation freshness.</w:t>
      </w:r>
    </w:p>
    <w:p>
      <w:pPr>
        <w:pStyle w:val="ListBullet"/>
      </w:pPr>
      <w:r>
        <w:t>Monitor risk rejection/reservation contention.</w:t>
      </w:r>
    </w:p>
    <w:p>
      <w:pPr>
        <w:pStyle w:val="ListBullet"/>
      </w:pPr>
      <w:r>
        <w:t>Monitor trade lifecycle and reconciliation age.</w:t>
      </w:r>
    </w:p>
    <w:p>
      <w:pPr>
        <w:pStyle w:val="ListBullet"/>
      </w:pPr>
      <w:r>
        <w:t>Track replay/regression separately from live runtime.</w:t>
      </w:r>
    </w:p>
    <w:p>
      <w:pPr>
        <w:pStyle w:val="Heading1"/>
      </w:pPr>
      <w:r>
        <w:t>29. Operational Controls</w:t>
      </w:r>
    </w:p>
    <w:p>
      <w:pPr>
        <w:pStyle w:val="ListBullet"/>
      </w:pPr>
      <w:r>
        <w:t>Start/stop/drain strategy executions.</w:t>
      </w:r>
    </w:p>
    <w:p>
      <w:pPr>
        <w:pStyle w:val="ListBullet"/>
      </w:pPr>
      <w:r>
        <w:t>Retire strategy versions from new activation.</w:t>
      </w:r>
    </w:p>
    <w:p>
      <w:pPr>
        <w:pStyle w:val="ListBullet"/>
      </w:pPr>
      <w:r>
        <w:t>Trigger reconciliation.</w:t>
      </w:r>
    </w:p>
    <w:p>
      <w:pPr>
        <w:pStyle w:val="ListBullet"/>
      </w:pPr>
      <w:r>
        <w:t>Pause affected execution when safety requires.</w:t>
      </w:r>
    </w:p>
    <w:p>
      <w:pPr>
        <w:pStyle w:val="ListBullet"/>
      </w:pPr>
      <w:r>
        <w:t>Run replay/regression diagnostics.</w:t>
      </w:r>
    </w:p>
    <w:p>
      <w:pPr>
        <w:pStyle w:val="ListBullet"/>
      </w:pPr>
      <w:r>
        <w:t>Inspect correlation chains.</w:t>
      </w:r>
    </w:p>
    <w:p>
      <w:pPr>
        <w:pStyle w:val="ListBullet"/>
      </w:pPr>
      <w:r>
        <w:t>All live-affecting controls require authorization and audit.</w:t>
      </w:r>
    </w:p>
    <w:p>
      <w:pPr>
        <w:pStyle w:val="Heading1"/>
      </w:pPr>
      <w:r>
        <w:t>30. Deployment Guidelines</w:t>
      </w:r>
    </w:p>
    <w:p>
      <w:r>
        <w:rPr>
          <w:rFonts w:ascii="Consolas" w:hAnsi="Consolas"/>
          <w:sz w:val="16"/>
        </w:rPr>
        <w:t>Source</w:t>
        <w:br/>
        <w:t xml:space="preserve">  ↓</w:t>
        <w:br/>
        <w:t>Build/Test</w:t>
        <w:br/>
        <w:t xml:space="preserve">  ↓</w:t>
        <w:br/>
        <w:t>Dependency/Security Scan</w:t>
        <w:br/>
        <w:t xml:space="preserve">  ↓</w:t>
        <w:br/>
        <w:t>Container Image</w:t>
        <w:br/>
        <w:t xml:space="preserve">  ↓</w:t>
        <w:br/>
        <w:t>Registry</w:t>
        <w:br/>
        <w:t xml:space="preserve">  ↓</w:t>
        <w:br/>
        <w:t>Environment Deployment</w:t>
        <w:br/>
        <w:t xml:space="preserve">  ↓</w:t>
        <w:br/>
        <w:t>Health/Smoke</w:t>
        <w:br/>
        <w:t xml:space="preserve">  ↓</w:t>
        <w:br/>
        <w:t>Canary / Controlled Traffic</w:t>
        <w:br/>
        <w:t xml:space="preserve">  ↓</w:t>
        <w:br/>
        <w:t>Release</w:t>
      </w:r>
    </w:p>
    <w:p>
      <w:pPr>
        <w:pStyle w:val="ListBullet"/>
      </w:pPr>
      <w:r>
        <w:t>Keep containers stateless where possible.</w:t>
      </w:r>
    </w:p>
    <w:p>
      <w:pPr>
        <w:pStyle w:val="ListBullet"/>
      </w:pPr>
      <w:r>
        <w:t>Persist business state in managed services.</w:t>
      </w:r>
    </w:p>
    <w:p>
      <w:pPr>
        <w:pStyle w:val="ListBullet"/>
      </w:pPr>
      <w:r>
        <w:t>Use graceful shutdown.</w:t>
      </w:r>
    </w:p>
    <w:p>
      <w:pPr>
        <w:pStyle w:val="ListBullet"/>
      </w:pPr>
      <w:r>
        <w:t>Use deployment revisions for rollback.</w:t>
      </w:r>
    </w:p>
    <w:p>
      <w:pPr>
        <w:pStyle w:val="ListBullet"/>
      </w:pPr>
      <w:r>
        <w:t>Tag images with immutable version/commit metadata.</w:t>
      </w:r>
    </w:p>
    <w:p>
      <w:pPr>
        <w:pStyle w:val="ListBullet"/>
      </w:pPr>
      <w:r>
        <w:t>Separate software deployment from strategy configuration publication.</w:t>
      </w:r>
    </w:p>
    <w:p>
      <w:pPr>
        <w:pStyle w:val="Heading1"/>
      </w:pPr>
      <w:r>
        <w:t>31. Configuration Management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Configuration</w:t>
            </w:r>
          </w:p>
        </w:tc>
        <w:tc>
          <w:tcPr>
            <w:tcW w:type="dxa" w:w="5040"/>
          </w:tcPr>
          <w:p>
            <w:r>
              <w:t>Rule</w:t>
            </w:r>
          </w:p>
        </w:tc>
      </w:tr>
      <w:tr>
        <w:tc>
          <w:tcPr>
            <w:tcW w:type="dxa" w:w="5040"/>
          </w:tcPr>
          <w:p>
            <w:r>
              <w:t>Application config</w:t>
            </w:r>
          </w:p>
        </w:tc>
        <w:tc>
          <w:tcPr>
            <w:tcW w:type="dxa" w:w="5040"/>
          </w:tcPr>
          <w:p>
            <w:r>
              <w:t>Externalized; environment-specific</w:t>
            </w:r>
          </w:p>
        </w:tc>
      </w:tr>
      <w:tr>
        <w:tc>
          <w:tcPr>
            <w:tcW w:type="dxa" w:w="5040"/>
          </w:tcPr>
          <w:p>
            <w:r>
              <w:t>Strategy parameters</w:t>
            </w:r>
          </w:p>
        </w:tc>
        <w:tc>
          <w:tcPr>
            <w:tcW w:type="dxa" w:w="5040"/>
          </w:tcPr>
          <w:p>
            <w:r>
              <w:t>Versioned with strategy/execution</w:t>
            </w:r>
          </w:p>
        </w:tc>
      </w:tr>
      <w:tr>
        <w:tc>
          <w:tcPr>
            <w:tcW w:type="dxa" w:w="5040"/>
          </w:tcPr>
          <w:p>
            <w:r>
              <w:t>Allocation/Risk policies</w:t>
            </w:r>
          </w:p>
        </w:tc>
        <w:tc>
          <w:tcPr>
            <w:tcW w:type="dxa" w:w="5040"/>
          </w:tcPr>
          <w:p>
            <w:r>
              <w:t>Versioned immutable published policies</w:t>
            </w:r>
          </w:p>
        </w:tc>
      </w:tr>
      <w:tr>
        <w:tc>
          <w:tcPr>
            <w:tcW w:type="dxa" w:w="5040"/>
          </w:tcPr>
          <w:p>
            <w:r>
              <w:t>Broker endpoints</w:t>
            </w:r>
          </w:p>
        </w:tc>
        <w:tc>
          <w:tcPr>
            <w:tcW w:type="dxa" w:w="5040"/>
          </w:tcPr>
          <w:p>
            <w:r>
              <w:t>Environment configuration</w:t>
            </w:r>
          </w:p>
        </w:tc>
      </w:tr>
      <w:tr>
        <w:tc>
          <w:tcPr>
            <w:tcW w:type="dxa" w:w="5040"/>
          </w:tcPr>
          <w:p>
            <w:r>
              <w:t>Secrets</w:t>
            </w:r>
          </w:p>
        </w:tc>
        <w:tc>
          <w:tcPr>
            <w:tcW w:type="dxa" w:w="5040"/>
          </w:tcPr>
          <w:p>
            <w:r>
              <w:t>Managed secret references</w:t>
            </w:r>
          </w:p>
        </w:tc>
      </w:tr>
      <w:tr>
        <w:tc>
          <w:tcPr>
            <w:tcW w:type="dxa" w:w="5040"/>
          </w:tcPr>
          <w:p>
            <w:r>
              <w:t>Feature flags</w:t>
            </w:r>
          </w:p>
        </w:tc>
        <w:tc>
          <w:tcPr>
            <w:tcW w:type="dxa" w:w="5040"/>
          </w:tcPr>
          <w:p>
            <w:r>
              <w:t>Controlled and auditable</w:t>
            </w:r>
          </w:p>
        </w:tc>
      </w:tr>
      <w:tr>
        <w:tc>
          <w:tcPr>
            <w:tcW w:type="dxa" w:w="5040"/>
          </w:tcPr>
          <w:p>
            <w:r>
              <w:t>Plugin bindings</w:t>
            </w:r>
          </w:p>
        </w:tc>
        <w:tc>
          <w:tcPr>
            <w:tcW w:type="dxa" w:w="5040"/>
          </w:tcPr>
          <w:p>
            <w:r>
              <w:t>Validated/versioned</w:t>
            </w:r>
          </w:p>
        </w:tc>
      </w:tr>
      <w:tr>
        <w:tc>
          <w:tcPr>
            <w:tcW w:type="dxa" w:w="5040"/>
          </w:tcPr>
          <w:p>
            <w:r>
              <w:t>AI provider</w:t>
            </w:r>
          </w:p>
        </w:tc>
        <w:tc>
          <w:tcPr>
            <w:tcW w:type="dxa" w:w="5040"/>
          </w:tcPr>
          <w:p>
            <w:r>
              <w:t>Configurable independently of trading path</w:t>
            </w:r>
          </w:p>
        </w:tc>
      </w:tr>
    </w:tbl>
    <w:p>
      <w:pPr>
        <w:pStyle w:val="Heading1"/>
      </w:pPr>
      <w:r>
        <w:t>32. AI Assistant Implementation Boundary</w:t>
      </w:r>
    </w:p>
    <w:p>
      <w:r>
        <w:t>AI strategy/trade assistance is a separate, non-critical capability. The primary trade use case is an explicit Explain action on the Trade/Position screen.</w:t>
      </w:r>
    </w:p>
    <w:p>
      <w:pPr>
        <w:pStyle w:val="ListBullet"/>
      </w:pPr>
      <w:r>
        <w:t>No automatic AI invocation from an LTP event.</w:t>
      </w:r>
    </w:p>
    <w:p>
      <w:pPr>
        <w:pStyle w:val="ListBullet"/>
      </w:pPr>
      <w:r>
        <w:t>No AI invocation during rule evaluation.</w:t>
      </w:r>
    </w:p>
    <w:p>
      <w:pPr>
        <w:pStyle w:val="ListBullet"/>
      </w:pPr>
      <w:r>
        <w:t>No AI invocation during risk approval.</w:t>
      </w:r>
    </w:p>
    <w:p>
      <w:pPr>
        <w:pStyle w:val="ListBullet"/>
      </w:pPr>
      <w:r>
        <w:t>No AI invocation during broker execution.</w:t>
      </w:r>
    </w:p>
    <w:p>
      <w:pPr>
        <w:pStyle w:val="ListBullet"/>
      </w:pPr>
      <w:r>
        <w:t>Context Builder reads approved evidence: observations, indicators, rule trace, risk decision and lifecycle.</w:t>
      </w:r>
    </w:p>
    <w:p>
      <w:pPr>
        <w:pStyle w:val="ListBullet"/>
      </w:pPr>
      <w:r>
        <w:t>Provider/model is configurable.</w:t>
      </w:r>
    </w:p>
    <w:p>
      <w:pPr>
        <w:pStyle w:val="ListBullet"/>
      </w:pPr>
      <w:r>
        <w:t>On-demand cost can be attributed to the requesting user according to billing configuration.</w:t>
      </w:r>
    </w:p>
    <w:p>
      <w:pPr>
        <w:pStyle w:val="ListBullet"/>
      </w:pPr>
      <w:r>
        <w:t>AI output is advisory and cannot mutate trade/position state.</w:t>
      </w:r>
    </w:p>
    <w:p>
      <w:pPr>
        <w:pStyle w:val="ListBullet"/>
      </w:pPr>
      <w:r>
        <w:t>AI timeout/provider failure returns an explanation error without affecting trading.</w:t>
      </w:r>
    </w:p>
    <w:p>
      <w:pPr>
        <w:pStyle w:val="Heading1"/>
      </w:pPr>
      <w:r>
        <w:t>33. Testing Checklist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Minimum Tests</w:t>
            </w:r>
          </w:p>
        </w:tc>
      </w:tr>
      <w:tr>
        <w:tc>
          <w:tcPr>
            <w:tcW w:type="dxa" w:w="5040"/>
          </w:tcPr>
          <w:p>
            <w:r>
              <w:t>Mailbox</w:t>
            </w:r>
          </w:p>
        </w:tc>
        <w:tc>
          <w:tcPr>
            <w:tcW w:type="dxa" w:w="5040"/>
          </w:tcPr>
          <w:p>
            <w:r>
              <w:t>Same-key serialization, burst, overflow, partition balance</w:t>
            </w:r>
          </w:p>
        </w:tc>
      </w:tr>
      <w:tr>
        <w:tc>
          <w:tcPr>
            <w:tcW w:type="dxa" w:w="5040"/>
          </w:tcPr>
          <w:p>
            <w:r>
              <w:t>Observation</w:t>
            </w:r>
          </w:p>
        </w:tc>
        <w:tc>
          <w:tcPr>
            <w:tcW w:type="dxa" w:w="5040"/>
          </w:tcPr>
          <w:p>
            <w:r>
              <w:t>Persistence, duplicates, gaps, timestamps</w:t>
            </w:r>
          </w:p>
        </w:tc>
      </w:tr>
      <w:tr>
        <w:tc>
          <w:tcPr>
            <w:tcW w:type="dxa" w:w="5040"/>
          </w:tcPr>
          <w:p>
            <w:r>
              <w:t>DSL/Compiler</w:t>
            </w:r>
          </w:p>
        </w:tc>
        <w:tc>
          <w:tcPr>
            <w:tcW w:type="dxa" w:w="5040"/>
          </w:tcPr>
          <w:p>
            <w:r>
              <w:t>Golden, type errors, unsafe constructs, fingerprints</w:t>
            </w:r>
          </w:p>
        </w:tc>
      </w:tr>
      <w:tr>
        <w:tc>
          <w:tcPr>
            <w:tcW w:type="dxa" w:w="5040"/>
          </w:tcPr>
          <w:p>
            <w:r>
              <w:t>Indicators</w:t>
            </w:r>
          </w:p>
        </w:tc>
        <w:tc>
          <w:tcPr>
            <w:tcW w:type="dxa" w:w="5040"/>
          </w:tcPr>
          <w:p>
            <w:r>
              <w:t>Warm-up, precision, reset, replay parity</w:t>
            </w:r>
          </w:p>
        </w:tc>
      </w:tr>
      <w:tr>
        <w:tc>
          <w:tcPr>
            <w:tcW w:type="dxa" w:w="5040"/>
          </w:tcPr>
          <w:p>
            <w:r>
              <w:t>Rules</w:t>
            </w:r>
          </w:p>
        </w:tc>
        <w:tc>
          <w:tcPr>
            <w:tcW w:type="dxa" w:w="5040"/>
          </w:tcPr>
          <w:p>
            <w:r>
              <w:t>Truth tables, boundaries, UNKNOWN, stateful rules</w:t>
            </w:r>
          </w:p>
        </w:tc>
      </w:tr>
      <w:tr>
        <w:tc>
          <w:tcPr>
            <w:tcW w:type="dxa" w:w="5040"/>
          </w:tcPr>
          <w:p>
            <w:r>
              <w:t>Risk</w:t>
            </w:r>
          </w:p>
        </w:tc>
        <w:tc>
          <w:tcPr>
            <w:tcW w:type="dxa" w:w="5040"/>
          </w:tcPr>
          <w:p>
            <w:r>
              <w:t>Caps, reservations, contention, stale state</w:t>
            </w:r>
          </w:p>
        </w:tc>
      </w:tr>
      <w:tr>
        <w:tc>
          <w:tcPr>
            <w:tcW w:type="dxa" w:w="5040"/>
          </w:tcPr>
          <w:p>
            <w:r>
              <w:t>Trade</w:t>
            </w:r>
          </w:p>
        </w:tc>
        <w:tc>
          <w:tcPr>
            <w:tcW w:type="dxa" w:w="5040"/>
          </w:tcPr>
          <w:p>
            <w:r>
              <w:t>Partial fills, duplicates, reconciliation</w:t>
            </w:r>
          </w:p>
        </w:tc>
      </w:tr>
      <w:tr>
        <w:tc>
          <w:tcPr>
            <w:tcW w:type="dxa" w:w="5040"/>
          </w:tcPr>
          <w:p>
            <w:r>
              <w:t>Replay</w:t>
            </w:r>
          </w:p>
        </w:tc>
        <w:tc>
          <w:tcPr>
            <w:tcW w:type="dxa" w:w="5040"/>
          </w:tcPr>
          <w:p>
            <w:r>
              <w:t>Determinism, virtual time, checkpoint/resume</w:t>
            </w:r>
          </w:p>
        </w:tc>
      </w:tr>
      <w:tr>
        <w:tc>
          <w:tcPr>
            <w:tcW w:type="dxa" w:w="5040"/>
          </w:tcPr>
          <w:p>
            <w:r>
              <w:t>Plugins</w:t>
            </w:r>
          </w:p>
        </w:tc>
        <w:tc>
          <w:tcPr>
            <w:tcW w:type="dxa" w:w="5040"/>
          </w:tcPr>
          <w:p>
            <w:r>
              <w:t>Contract, compatibility, fault, security</w:t>
            </w:r>
          </w:p>
        </w:tc>
      </w:tr>
      <w:tr>
        <w:tc>
          <w:tcPr>
            <w:tcW w:type="dxa" w:w="5040"/>
          </w:tcPr>
          <w:p>
            <w:r>
              <w:t>Observability</w:t>
            </w:r>
          </w:p>
        </w:tc>
        <w:tc>
          <w:tcPr>
            <w:tcW w:type="dxa" w:w="5040"/>
          </w:tcPr>
          <w:p>
            <w:r>
              <w:t>Metrics/logs/traces/correlation</w:t>
            </w:r>
          </w:p>
        </w:tc>
      </w:tr>
      <w:tr>
        <w:tc>
          <w:tcPr>
            <w:tcW w:type="dxa" w:w="5040"/>
          </w:tcPr>
          <w:p>
            <w:r>
              <w:t>AI</w:t>
            </w:r>
          </w:p>
        </w:tc>
        <w:tc>
          <w:tcPr>
            <w:tcW w:type="dxa" w:w="5040"/>
          </w:tcPr>
          <w:p>
            <w:r>
              <w:t>On-demand only, billing, provider failure isolation</w:t>
            </w:r>
          </w:p>
        </w:tc>
      </w:tr>
    </w:tbl>
    <w:p>
      <w:pPr>
        <w:pStyle w:val="Heading1"/>
      </w:pPr>
      <w:r>
        <w:t>34. Performance Checklist</w:t>
      </w:r>
    </w:p>
    <w:p>
      <w:pPr>
        <w:pStyle w:val="ListBullet"/>
      </w:pPr>
      <w:r>
        <w:t>Measure observation ingestion rate.</w:t>
      </w:r>
    </w:p>
    <w:p>
      <w:pPr>
        <w:pStyle w:val="ListBullet"/>
      </w:pPr>
      <w:r>
        <w:t>Measure normalization latency.</w:t>
      </w:r>
    </w:p>
    <w:p>
      <w:pPr>
        <w:pStyle w:val="ListBullet"/>
      </w:pPr>
      <w:r>
        <w:t>Measure mailbox enqueue/dequeue latency.</w:t>
      </w:r>
    </w:p>
    <w:p>
      <w:pPr>
        <w:pStyle w:val="ListBullet"/>
      </w:pPr>
      <w:r>
        <w:t>Measure evaluation duration.</w:t>
      </w:r>
    </w:p>
    <w:p>
      <w:pPr>
        <w:pStyle w:val="ListBullet"/>
      </w:pPr>
      <w:r>
        <w:t>Measure queue age under producer &gt; consumer conditions.</w:t>
      </w:r>
    </w:p>
    <w:p>
      <w:pPr>
        <w:pStyle w:val="ListBullet"/>
      </w:pPr>
      <w:r>
        <w:t>Measure independent-key parallelism.</w:t>
      </w:r>
    </w:p>
    <w:p>
      <w:pPr>
        <w:pStyle w:val="ListBullet"/>
      </w:pPr>
      <w:r>
        <w:t>Measure risk reservation contention.</w:t>
      </w:r>
    </w:p>
    <w:p>
      <w:pPr>
        <w:pStyle w:val="ListBullet"/>
      </w:pPr>
      <w:r>
        <w:t>Measure trade update/reconciliation latency.</w:t>
      </w:r>
    </w:p>
    <w:p>
      <w:pPr>
        <w:pStyle w:val="ListBullet"/>
      </w:pPr>
      <w:r>
        <w:t>Measure replay throughput.</w:t>
      </w:r>
    </w:p>
    <w:p>
      <w:pPr>
        <w:pStyle w:val="ListBullet"/>
      </w:pPr>
      <w:r>
        <w:t>Verify bounded memory and queue behavior.</w:t>
      </w:r>
    </w:p>
    <w:p>
      <w:pPr>
        <w:pStyle w:val="Heading1"/>
      </w:pPr>
      <w:r>
        <w:t>35. Code Review Checklist</w:t>
      </w:r>
    </w:p>
    <w:p>
      <w:pPr>
        <w:pStyle w:val="ListBullet"/>
      </w:pPr>
      <w:r>
        <w:t>Does the change alter strategy semantics?</w:t>
      </w:r>
    </w:p>
    <w:p>
      <w:pPr>
        <w:pStyle w:val="ListBullet"/>
      </w:pPr>
      <w:r>
        <w:t>Does it preserve EvaluationKey serialization?</w:t>
      </w:r>
    </w:p>
    <w:p>
      <w:pPr>
        <w:pStyle w:val="ListBullet"/>
      </w:pPr>
      <w:r>
        <w:t>Does it add a database/network call to the tick evaluation path?</w:t>
      </w:r>
    </w:p>
    <w:p>
      <w:pPr>
        <w:pStyle w:val="ListBullet"/>
      </w:pPr>
      <w:r>
        <w:t>Does it preserve normalized observation persistence?</w:t>
      </w:r>
    </w:p>
    <w:p>
      <w:pPr>
        <w:pStyle w:val="ListBullet"/>
      </w:pPr>
      <w:r>
        <w:t>Does it preserve immutable versioning?</w:t>
      </w:r>
    </w:p>
    <w:p>
      <w:pPr>
        <w:pStyle w:val="ListBullet"/>
      </w:pPr>
      <w:r>
        <w:t>Does it bypass Allocation/Risk or Trade Lifecycle?</w:t>
      </w:r>
    </w:p>
    <w:p>
      <w:pPr>
        <w:pStyle w:val="ListBullet"/>
      </w:pPr>
      <w:r>
        <w:t>Does it introduce vendor SDK types into core code?</w:t>
      </w:r>
    </w:p>
    <w:p>
      <w:pPr>
        <w:pStyle w:val="ListBullet"/>
      </w:pPr>
      <w:r>
        <w:t>Does it affect replay determinism?</w:t>
      </w:r>
    </w:p>
    <w:p>
      <w:pPr>
        <w:pStyle w:val="ListBullet"/>
      </w:pPr>
      <w:r>
        <w:t>Does it add required telemetry?</w:t>
      </w:r>
    </w:p>
    <w:p>
      <w:pPr>
        <w:pStyle w:val="ListBullet"/>
      </w:pPr>
      <w:r>
        <w:t>Does it change a state transition without updating the state-machine tests?</w:t>
      </w:r>
    </w:p>
    <w:p>
      <w:pPr>
        <w:pStyle w:val="ListBullet"/>
      </w:pPr>
      <w:r>
        <w:t>Does it require regression-baseline changes?</w:t>
      </w:r>
    </w:p>
    <w:p>
      <w:pPr>
        <w:pStyle w:val="ListBullet"/>
      </w:pPr>
      <w:r>
        <w:t>Does it introduce any automatic AI call into the trading path?</w:t>
      </w:r>
    </w:p>
    <w:p>
      <w:pPr>
        <w:pStyle w:val="Heading1"/>
      </w:pPr>
      <w:r>
        <w:t>36. Production Readiness Checklist</w:t>
      </w:r>
    </w:p>
    <w:p>
      <w:pPr>
        <w:pStyle w:val="ListBullet"/>
      </w:pPr>
      <w:r>
        <w:t>All critical services have health/readiness checks.</w:t>
      </w:r>
    </w:p>
    <w:p>
      <w:pPr>
        <w:pStyle w:val="ListBullet"/>
      </w:pPr>
      <w:r>
        <w:t>Mailbox backlog dashboards and alerts are active.</w:t>
      </w:r>
    </w:p>
    <w:p>
      <w:pPr>
        <w:pStyle w:val="ListBullet"/>
      </w:pPr>
      <w:r>
        <w:t>Observation persistence is verified.</w:t>
      </w:r>
    </w:p>
    <w:p>
      <w:pPr>
        <w:pStyle w:val="ListBullet"/>
      </w:pPr>
      <w:r>
        <w:t>Active strategy versions and plugin versions are recorded.</w:t>
      </w:r>
    </w:p>
    <w:p>
      <w:pPr>
        <w:pStyle w:val="ListBullet"/>
      </w:pPr>
      <w:r>
        <w:t>Risk policies are published and validated.</w:t>
      </w:r>
    </w:p>
    <w:p>
      <w:pPr>
        <w:pStyle w:val="ListBullet"/>
      </w:pPr>
      <w:r>
        <w:t>Broker connectivity/reconciliation is tested.</w:t>
      </w:r>
    </w:p>
    <w:p>
      <w:pPr>
        <w:pStyle w:val="ListBullet"/>
      </w:pPr>
      <w:r>
        <w:t>Runbooks are available.</w:t>
      </w:r>
    </w:p>
    <w:p>
      <w:pPr>
        <w:pStyle w:val="ListBullet"/>
      </w:pPr>
      <w:r>
        <w:t>Regression suite passes.</w:t>
      </w:r>
    </w:p>
    <w:p>
      <w:pPr>
        <w:pStyle w:val="ListBullet"/>
      </w:pPr>
      <w:r>
        <w:t>Rollback path is tested.</w:t>
      </w:r>
    </w:p>
    <w:p>
      <w:pPr>
        <w:pStyle w:val="ListBullet"/>
      </w:pPr>
      <w:r>
        <w:t>Live operational permissions are configured.</w:t>
      </w:r>
    </w:p>
    <w:p>
      <w:pPr>
        <w:pStyle w:val="ListBullet"/>
      </w:pPr>
      <w:r>
        <w:t>Secrets are managed securely.</w:t>
      </w:r>
    </w:p>
    <w:p>
      <w:pPr>
        <w:pStyle w:val="ListBullet"/>
      </w:pPr>
      <w:r>
        <w:t>AI explanation is disabled from the automatic trading path and available only through explicit user action.</w:t>
      </w:r>
    </w:p>
    <w:p>
      <w:pPr>
        <w:pStyle w:val="Heading1"/>
      </w:pPr>
      <w:r>
        <w:t>37. Recommended Definition of Done</w:t>
      </w:r>
    </w:p>
    <w:p>
      <w:pPr>
        <w:pStyle w:val="ListBullet"/>
      </w:pPr>
      <w:r>
        <w:t>Code implemented with unit/component/integration tests.</w:t>
      </w:r>
    </w:p>
    <w:p>
      <w:pPr>
        <w:pStyle w:val="ListBullet"/>
      </w:pPr>
      <w:r>
        <w:t>API/event contracts updated.</w:t>
      </w:r>
    </w:p>
    <w:p>
      <w:pPr>
        <w:pStyle w:val="ListBullet"/>
      </w:pPr>
      <w:r>
        <w:t>State-machine transitions covered.</w:t>
      </w:r>
    </w:p>
    <w:p>
      <w:pPr>
        <w:pStyle w:val="ListBullet"/>
      </w:pPr>
      <w:r>
        <w:t>Observability added.</w:t>
      </w:r>
    </w:p>
    <w:p>
      <w:pPr>
        <w:pStyle w:val="ListBullet"/>
      </w:pPr>
      <w:r>
        <w:t>Security/dependency checks passed.</w:t>
      </w:r>
    </w:p>
    <w:p>
      <w:pPr>
        <w:pStyle w:val="ListBullet"/>
      </w:pPr>
      <w:r>
        <w:t>Database migration reviewed.</w:t>
      </w:r>
    </w:p>
    <w:p>
      <w:pPr>
        <w:pStyle w:val="ListBullet"/>
      </w:pPr>
      <w:r>
        <w:t>Regression scenarios updated where semantics changed.</w:t>
      </w:r>
    </w:p>
    <w:p>
      <w:pPr>
        <w:pStyle w:val="ListBullet"/>
      </w:pPr>
      <w:r>
        <w:t>Replay behavior verified.</w:t>
      </w:r>
    </w:p>
    <w:p>
      <w:pPr>
        <w:pStyle w:val="ListBullet"/>
      </w:pPr>
      <w:r>
        <w:t>Operational runbook updated for material operational changes.</w:t>
      </w:r>
    </w:p>
    <w:p>
      <w:pPr>
        <w:pStyle w:val="ListBullet"/>
      </w:pPr>
      <w:r>
        <w:t>Architecture documentation updated for material design decisions.</w:t>
      </w:r>
    </w:p>
    <w:p>
      <w:pPr>
        <w:pStyle w:val="Heading1"/>
      </w:pPr>
      <w:r>
        <w:t>38. Architecture Decision Guardrails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Guardrail</w:t>
            </w:r>
          </w:p>
        </w:tc>
        <w:tc>
          <w:tcPr>
            <w:tcW w:type="dxa" w:w="5040"/>
          </w:tcPr>
          <w:p>
            <w:r>
              <w:t>Do Not Violate</w:t>
            </w:r>
          </w:p>
        </w:tc>
      </w:tr>
      <w:tr>
        <w:tc>
          <w:tcPr>
            <w:tcW w:type="dxa" w:w="5040"/>
          </w:tcPr>
          <w:p>
            <w:r>
              <w:t>Observation durability</w:t>
            </w:r>
          </w:p>
        </w:tc>
        <w:tc>
          <w:tcPr>
            <w:tcW w:type="dxa" w:w="5040"/>
          </w:tcPr>
          <w:p>
            <w:r>
              <w:t>Do not discard observations merely because no trade is generated</w:t>
            </w:r>
          </w:p>
        </w:tc>
      </w:tr>
      <w:tr>
        <w:tc>
          <w:tcPr>
            <w:tcW w:type="dxa" w:w="5040"/>
          </w:tcPr>
          <w:p>
            <w:r>
              <w:t>Mailbox serialization</w:t>
            </w:r>
          </w:p>
        </w:tc>
        <w:tc>
          <w:tcPr>
            <w:tcW w:type="dxa" w:w="5040"/>
          </w:tcPr>
          <w:p>
            <w:r>
              <w:t>Do not run same EvaluationKey concurrently</w:t>
            </w:r>
          </w:p>
        </w:tc>
      </w:tr>
      <w:tr>
        <w:tc>
          <w:tcPr>
            <w:tcW w:type="dxa" w:w="5040"/>
          </w:tcPr>
          <w:p>
            <w:r>
              <w:t>Risk boundary</w:t>
            </w:r>
          </w:p>
        </w:tc>
        <w:tc>
          <w:tcPr>
            <w:tcW w:type="dxa" w:w="5040"/>
          </w:tcPr>
          <w:p>
            <w:r>
              <w:t>Do not create live orders directly from Rule Engine</w:t>
            </w:r>
          </w:p>
        </w:tc>
      </w:tr>
      <w:tr>
        <w:tc>
          <w:tcPr>
            <w:tcW w:type="dxa" w:w="5040"/>
          </w:tcPr>
          <w:p>
            <w:r>
              <w:t>Lifecycle authority</w:t>
            </w:r>
          </w:p>
        </w:tc>
        <w:tc>
          <w:tcPr>
            <w:tcW w:type="dxa" w:w="5040"/>
          </w:tcPr>
          <w:p>
            <w:r>
              <w:t>Do not bypass Trade Lifecycle Manager</w:t>
            </w:r>
          </w:p>
        </w:tc>
      </w:tr>
      <w:tr>
        <w:tc>
          <w:tcPr>
            <w:tcW w:type="dxa" w:w="5040"/>
          </w:tcPr>
          <w:p>
            <w:r>
              <w:t>Versioning</w:t>
            </w:r>
          </w:p>
        </w:tc>
        <w:tc>
          <w:tcPr>
            <w:tcW w:type="dxa" w:w="5040"/>
          </w:tcPr>
          <w:p>
            <w:r>
              <w:t>Do not mutate published strategy semantics</w:t>
            </w:r>
          </w:p>
        </w:tc>
      </w:tr>
      <w:tr>
        <w:tc>
          <w:tcPr>
            <w:tcW w:type="dxa" w:w="5040"/>
          </w:tcPr>
          <w:p>
            <w:r>
              <w:t>Simulation isolation</w:t>
            </w:r>
          </w:p>
        </w:tc>
        <w:tc>
          <w:tcPr>
            <w:tcW w:type="dxa" w:w="5040"/>
          </w:tcPr>
          <w:p>
            <w:r>
              <w:t>Do not expose live broker credentials to simulation</w:t>
            </w:r>
          </w:p>
        </w:tc>
      </w:tr>
      <w:tr>
        <w:tc>
          <w:tcPr>
            <w:tcW w:type="dxa" w:w="5040"/>
          </w:tcPr>
          <w:p>
            <w:r>
              <w:t>Plugin isolation</w:t>
            </w:r>
          </w:p>
        </w:tc>
        <w:tc>
          <w:tcPr>
            <w:tcW w:type="dxa" w:w="5040"/>
          </w:tcPr>
          <w:p>
            <w:r>
              <w:t>Do not leak vendor SDK types into core</w:t>
            </w:r>
          </w:p>
        </w:tc>
      </w:tr>
      <w:tr>
        <w:tc>
          <w:tcPr>
            <w:tcW w:type="dxa" w:w="5040"/>
          </w:tcPr>
          <w:p>
            <w:r>
              <w:t>AI boundary</w:t>
            </w:r>
          </w:p>
        </w:tc>
        <w:tc>
          <w:tcPr>
            <w:tcW w:type="dxa" w:w="5040"/>
          </w:tcPr>
          <w:p>
            <w:r>
              <w:t>Do not make AI a trading decision dependency</w:t>
            </w:r>
          </w:p>
        </w:tc>
      </w:tr>
    </w:tbl>
    <w:p>
      <w:pPr>
        <w:pStyle w:val="Heading1"/>
      </w:pPr>
      <w:r>
        <w:t>39. Implementation Ownership</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Primary Engineering Ownership</w:t>
            </w:r>
          </w:p>
        </w:tc>
      </w:tr>
      <w:tr>
        <w:tc>
          <w:tcPr>
            <w:tcW w:type="dxa" w:w="5040"/>
          </w:tcPr>
          <w:p>
            <w:r>
              <w:t>Strategy UI/Designer</w:t>
            </w:r>
          </w:p>
        </w:tc>
        <w:tc>
          <w:tcPr>
            <w:tcW w:type="dxa" w:w="5040"/>
          </w:tcPr>
          <w:p>
            <w:r>
              <w:t>Frontend + Strategy Platform</w:t>
            </w:r>
          </w:p>
        </w:tc>
      </w:tr>
      <w:tr>
        <w:tc>
          <w:tcPr>
            <w:tcW w:type="dxa" w:w="5040"/>
          </w:tcPr>
          <w:p>
            <w:r>
              <w:t>DSL/Compiler</w:t>
            </w:r>
          </w:p>
        </w:tc>
        <w:tc>
          <w:tcPr>
            <w:tcW w:type="dxa" w:w="5040"/>
          </w:tcPr>
          <w:p>
            <w:r>
              <w:t>Strategy Platform / Compiler</w:t>
            </w:r>
          </w:p>
        </w:tc>
      </w:tr>
      <w:tr>
        <w:tc>
          <w:tcPr>
            <w:tcW w:type="dxa" w:w="5040"/>
          </w:tcPr>
          <w:p>
            <w:r>
              <w:t>Mailbox/Partition Manager</w:t>
            </w:r>
          </w:p>
        </w:tc>
        <w:tc>
          <w:tcPr>
            <w:tcW w:type="dxa" w:w="5040"/>
          </w:tcPr>
          <w:p>
            <w:r>
              <w:t>Platform Runtime</w:t>
            </w:r>
          </w:p>
        </w:tc>
      </w:tr>
      <w:tr>
        <w:tc>
          <w:tcPr>
            <w:tcW w:type="dxa" w:w="5040"/>
          </w:tcPr>
          <w:p>
            <w:r>
              <w:t>Rule/Indicator</w:t>
            </w:r>
          </w:p>
        </w:tc>
        <w:tc>
          <w:tcPr>
            <w:tcW w:type="dxa" w:w="5040"/>
          </w:tcPr>
          <w:p>
            <w:r>
              <w:t>Strategy Engine</w:t>
            </w:r>
          </w:p>
        </w:tc>
      </w:tr>
      <w:tr>
        <w:tc>
          <w:tcPr>
            <w:tcW w:type="dxa" w:w="5040"/>
          </w:tcPr>
          <w:p>
            <w:r>
              <w:t>Allocation/Risk</w:t>
            </w:r>
          </w:p>
        </w:tc>
        <w:tc>
          <w:tcPr>
            <w:tcW w:type="dxa" w:w="5040"/>
          </w:tcPr>
          <w:p>
            <w:r>
              <w:t>Risk/Trading Platform</w:t>
            </w:r>
          </w:p>
        </w:tc>
      </w:tr>
      <w:tr>
        <w:tc>
          <w:tcPr>
            <w:tcW w:type="dxa" w:w="5040"/>
          </w:tcPr>
          <w:p>
            <w:r>
              <w:t>Trade Lifecycle</w:t>
            </w:r>
          </w:p>
        </w:tc>
        <w:tc>
          <w:tcPr>
            <w:tcW w:type="dxa" w:w="5040"/>
          </w:tcPr>
          <w:p>
            <w:r>
              <w:t>Execution/Trading Platform</w:t>
            </w:r>
          </w:p>
        </w:tc>
      </w:tr>
      <w:tr>
        <w:tc>
          <w:tcPr>
            <w:tcW w:type="dxa" w:w="5040"/>
          </w:tcPr>
          <w:p>
            <w:r>
              <w:t>Broker plugins</w:t>
            </w:r>
          </w:p>
        </w:tc>
        <w:tc>
          <w:tcPr>
            <w:tcW w:type="dxa" w:w="5040"/>
          </w:tcPr>
          <w:p>
            <w:r>
              <w:t>Integration team / provider adapter owners</w:t>
            </w:r>
          </w:p>
        </w:tc>
      </w:tr>
      <w:tr>
        <w:tc>
          <w:tcPr>
            <w:tcW w:type="dxa" w:w="5040"/>
          </w:tcPr>
          <w:p>
            <w:r>
              <w:t>Observation store</w:t>
            </w:r>
          </w:p>
        </w:tc>
        <w:tc>
          <w:tcPr>
            <w:tcW w:type="dxa" w:w="5040"/>
          </w:tcPr>
          <w:p>
            <w:r>
              <w:t>Market Data / Data Platform</w:t>
            </w:r>
          </w:p>
        </w:tc>
      </w:tr>
      <w:tr>
        <w:tc>
          <w:tcPr>
            <w:tcW w:type="dxa" w:w="5040"/>
          </w:tcPr>
          <w:p>
            <w:r>
              <w:t>Replay/Regression</w:t>
            </w:r>
          </w:p>
        </w:tc>
        <w:tc>
          <w:tcPr>
            <w:tcW w:type="dxa" w:w="5040"/>
          </w:tcPr>
          <w:p>
            <w:r>
              <w:t>Strategy Platform / QA</w:t>
            </w:r>
          </w:p>
        </w:tc>
      </w:tr>
      <w:tr>
        <w:tc>
          <w:tcPr>
            <w:tcW w:type="dxa" w:w="5040"/>
          </w:tcPr>
          <w:p>
            <w:r>
              <w:t>Cloud/container platform</w:t>
            </w:r>
          </w:p>
        </w:tc>
        <w:tc>
          <w:tcPr>
            <w:tcW w:type="dxa" w:w="5040"/>
          </w:tcPr>
          <w:p>
            <w:r>
              <w:t>DevOps / Platform Engineering</w:t>
            </w:r>
          </w:p>
        </w:tc>
      </w:tr>
      <w:tr>
        <w:tc>
          <w:tcPr>
            <w:tcW w:type="dxa" w:w="5040"/>
          </w:tcPr>
          <w:p>
            <w:r>
              <w:t>Observability</w:t>
            </w:r>
          </w:p>
        </w:tc>
        <w:tc>
          <w:tcPr>
            <w:tcW w:type="dxa" w:w="5040"/>
          </w:tcPr>
          <w:p>
            <w:r>
              <w:t>Platform/SRE</w:t>
            </w:r>
          </w:p>
        </w:tc>
      </w:tr>
      <w:tr>
        <w:tc>
          <w:tcPr>
            <w:tcW w:type="dxa" w:w="5040"/>
          </w:tcPr>
          <w:p>
            <w:r>
              <w:t>AI Assistant</w:t>
            </w:r>
          </w:p>
        </w:tc>
        <w:tc>
          <w:tcPr>
            <w:tcW w:type="dxa" w:w="5040"/>
          </w:tcPr>
          <w:p>
            <w:r>
              <w:t>AI/Application Integration</w:t>
            </w:r>
          </w:p>
        </w:tc>
      </w:tr>
    </w:tbl>
    <w:p>
      <w:pPr>
        <w:pStyle w:val="Heading1"/>
      </w:pPr>
      <w:r>
        <w:t>40. Final Implementation Architecture</w:t>
      </w:r>
    </w:p>
    <w:p>
      <w:r>
        <w:rPr>
          <w:rFonts w:ascii="Consolas" w:hAnsi="Consolas"/>
          <w:sz w:val="16"/>
        </w:rPr>
        <w:t>Market Data / Broker</w:t>
        <w:br/>
        <w:t xml:space="preserve">        ↓</w:t>
        <w:br/>
        <w:t xml:space="preserve">   Normalizer</w:t>
        <w:br/>
        <w:t xml:space="preserve">        ↓</w:t>
        <w:br/>
        <w:t>Normalized Observation ─────→ Observation Store</w:t>
        <w:br/>
        <w:t xml:space="preserve">        ↓</w:t>
        <w:br/>
        <w:t xml:space="preserve">    Dispatcher</w:t>
        <w:br/>
        <w:t xml:space="preserve">        ↓</w:t>
        <w:br/>
        <w:t>Execution Mailbox / Partition Manager</w:t>
        <w:br/>
        <w:t xml:space="preserve">        ↓</w:t>
        <w:br/>
        <w:t xml:space="preserve">   Workflow Engine</w:t>
        <w:br/>
        <w:t xml:space="preserve">      ├── Indicator Engine</w:t>
        <w:br/>
        <w:t xml:space="preserve">      └── Rule Engine</w:t>
        <w:br/>
        <w:t xml:space="preserve">             ↓</w:t>
        <w:br/>
        <w:t xml:space="preserve">       CandidateIntent</w:t>
        <w:br/>
        <w:t xml:space="preserve">             ↓</w:t>
        <w:br/>
        <w:t xml:space="preserve"> Allocation &amp; Risk Engine</w:t>
        <w:br/>
        <w:t xml:space="preserve">             ↓</w:t>
        <w:br/>
        <w:t xml:space="preserve">     Trade Lifecycle</w:t>
        <w:br/>
        <w:t xml:space="preserve">             ↓</w:t>
        <w:br/>
        <w:t xml:space="preserve">    Broker Plugin / Adapter</w:t>
        <w:br/>
        <w:t xml:space="preserve">             ↓</w:t>
        <w:br/>
        <w:t xml:space="preserve">          Broker</w:t>
        <w:br/>
        <w:br/>
        <w:t>Cross-cutting:</w:t>
        <w:br/>
        <w:t xml:space="preserve">  Repository + Versioning</w:t>
        <w:br/>
        <w:t xml:space="preserve">  Observability + Audit</w:t>
        <w:br/>
        <w:t xml:space="preserve">  Security</w:t>
        <w:br/>
        <w:t xml:space="preserve">  Replay + Simulation</w:t>
        <w:br/>
        <w:t xml:space="preserve">  Regression Framework</w:t>
        <w:br/>
        <w:t xml:space="preserve">  Plugin Registry</w:t>
        <w:br/>
        <w:br/>
        <w:t>User-initiated:</w:t>
        <w:br/>
        <w:t xml:space="preserve">  Trade/Position → Explain → AI Assistant → User</w:t>
      </w:r>
    </w:p>
    <w:p>
      <w:pPr>
        <w:pStyle w:val="Heading1"/>
      </w:pPr>
      <w:r>
        <w:t>41. Acceptance Criteria</w:t>
      </w:r>
    </w:p>
    <w:p>
      <w:pPr>
        <w:pStyle w:val="ListBullet"/>
      </w:pPr>
      <w:r>
        <w:t>Engineering teams can implement each service without ambiguous ownership boundaries.</w:t>
      </w:r>
    </w:p>
    <w:p>
      <w:pPr>
        <w:pStyle w:val="ListBullet"/>
      </w:pPr>
      <w:r>
        <w:t>All stateful strategy processing uses the Execution Mailbox / Partition Manager.</w:t>
      </w:r>
    </w:p>
    <w:p>
      <w:pPr>
        <w:pStyle w:val="ListBullet"/>
      </w:pPr>
      <w:r>
        <w:t>Normalized observations are persisted independently of trade generation.</w:t>
      </w:r>
    </w:p>
    <w:p>
      <w:pPr>
        <w:pStyle w:val="ListBullet"/>
      </w:pPr>
      <w:r>
        <w:t>Published strategy and policy versions are immutable and reproducible.</w:t>
      </w:r>
    </w:p>
    <w:p>
      <w:pPr>
        <w:pStyle w:val="ListBullet"/>
      </w:pPr>
      <w:r>
        <w:t>The runtime can trace a trade back to the triggering observation and decision evidence.</w:t>
      </w:r>
    </w:p>
    <w:p>
      <w:pPr>
        <w:pStyle w:val="ListBullet"/>
      </w:pPr>
      <w:r>
        <w:t>Risk and lifecycle controls cannot be bypassed.</w:t>
      </w:r>
    </w:p>
    <w:p>
      <w:pPr>
        <w:pStyle w:val="ListBullet"/>
      </w:pPr>
      <w:r>
        <w:t>Replay uses live-equivalent strategy semantics without live execution.</w:t>
      </w:r>
    </w:p>
    <w:p>
      <w:pPr>
        <w:pStyle w:val="ListBullet"/>
      </w:pPr>
      <w:r>
        <w:t>Regression tests protect semantic behavior and concurrency invariants.</w:t>
      </w:r>
    </w:p>
    <w:p>
      <w:pPr>
        <w:pStyle w:val="ListBullet"/>
      </w:pPr>
      <w:r>
        <w:t>Container deployment supports graceful shutdown and controlled rollback.</w:t>
      </w:r>
    </w:p>
    <w:p>
      <w:pPr>
        <w:pStyle w:val="ListBullet"/>
      </w:pPr>
      <w:r>
        <w:t>Operational dashboards and alerts cover the complete market-to-trade path.</w:t>
      </w:r>
    </w:p>
    <w:p>
      <w:pPr>
        <w:pStyle w:val="ListBullet"/>
      </w:pPr>
      <w:r>
        <w:t>Vendor broker JARs remain isolated behind plugin/adapter contracts.</w:t>
      </w:r>
    </w:p>
    <w:p>
      <w:pPr>
        <w:pStyle w:val="ListBullet"/>
      </w:pPr>
      <w:r>
        <w:t>AI explanation is strictly on demand, configurable for provider/cost attribution, and never a trading-path dependency.</w:t>
      </w:r>
    </w:p>
    <w:p>
      <w:pPr>
        <w:pStyle w:val="Heading1"/>
      </w:pPr>
      <w:r>
        <w:t>42. Document Dependency Map</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Use During Implementation</w:t>
            </w:r>
          </w:p>
        </w:tc>
      </w:tr>
      <w:tr>
        <w:tc>
          <w:tcPr>
            <w:tcW w:type="dxa" w:w="5040"/>
          </w:tcPr>
          <w:p>
            <w:r>
              <w:t>07.01 Strategy Platform Architecture</w:t>
            </w:r>
          </w:p>
        </w:tc>
        <w:tc>
          <w:tcPr>
            <w:tcW w:type="dxa" w:w="5040"/>
          </w:tcPr>
          <w:p>
            <w:r>
              <w:t>Master architecture context</w:t>
            </w:r>
          </w:p>
        </w:tc>
      </w:tr>
      <w:tr>
        <w:tc>
          <w:tcPr>
            <w:tcW w:type="dxa" w:w="5040"/>
          </w:tcPr>
          <w:p>
            <w:r>
              <w:t>07.02 Strategy Designer and UI</w:t>
            </w:r>
          </w:p>
        </w:tc>
        <w:tc>
          <w:tcPr>
            <w:tcW w:type="dxa" w:w="5040"/>
          </w:tcPr>
          <w:p>
            <w:r>
              <w:t>Authoring behavior</w:t>
            </w:r>
          </w:p>
        </w:tc>
      </w:tr>
      <w:tr>
        <w:tc>
          <w:tcPr>
            <w:tcW w:type="dxa" w:w="5040"/>
          </w:tcPr>
          <w:p>
            <w:r>
              <w:t>07.03 Strategy DSL</w:t>
            </w:r>
          </w:p>
        </w:tc>
        <w:tc>
          <w:tcPr>
            <w:tcW w:type="dxa" w:w="5040"/>
          </w:tcPr>
          <w:p>
            <w:r>
              <w:t>DSL grammar/semantics</w:t>
            </w:r>
          </w:p>
        </w:tc>
      </w:tr>
      <w:tr>
        <w:tc>
          <w:tcPr>
            <w:tcW w:type="dxa" w:w="5040"/>
          </w:tcPr>
          <w:p>
            <w:r>
              <w:t>07.04 Strategy Compiler</w:t>
            </w:r>
          </w:p>
        </w:tc>
        <w:tc>
          <w:tcPr>
            <w:tcW w:type="dxa" w:w="5040"/>
          </w:tcPr>
          <w:p>
            <w:r>
              <w:t>Compilation/runtime plan</w:t>
            </w:r>
          </w:p>
        </w:tc>
      </w:tr>
      <w:tr>
        <w:tc>
          <w:tcPr>
            <w:tcW w:type="dxa" w:w="5040"/>
          </w:tcPr>
          <w:p>
            <w:r>
              <w:t>07.05 Workflow Engine</w:t>
            </w:r>
          </w:p>
        </w:tc>
        <w:tc>
          <w:tcPr>
            <w:tcW w:type="dxa" w:w="5040"/>
          </w:tcPr>
          <w:p>
            <w:r>
              <w:t>Mailbox-driven orchestration</w:t>
            </w:r>
          </w:p>
        </w:tc>
      </w:tr>
      <w:tr>
        <w:tc>
          <w:tcPr>
            <w:tcW w:type="dxa" w:w="5040"/>
          </w:tcPr>
          <w:p>
            <w:r>
              <w:t>07.06 Rule Engine</w:t>
            </w:r>
          </w:p>
        </w:tc>
        <w:tc>
          <w:tcPr>
            <w:tcW w:type="dxa" w:w="5040"/>
          </w:tcPr>
          <w:p>
            <w:r>
              <w:t>Rule implementation</w:t>
            </w:r>
          </w:p>
        </w:tc>
      </w:tr>
      <w:tr>
        <w:tc>
          <w:tcPr>
            <w:tcW w:type="dxa" w:w="5040"/>
          </w:tcPr>
          <w:p>
            <w:r>
              <w:t>07.07 Indicator Engine</w:t>
            </w:r>
          </w:p>
        </w:tc>
        <w:tc>
          <w:tcPr>
            <w:tcW w:type="dxa" w:w="5040"/>
          </w:tcPr>
          <w:p>
            <w:r>
              <w:t>Indicator implementation</w:t>
            </w:r>
          </w:p>
        </w:tc>
      </w:tr>
      <w:tr>
        <w:tc>
          <w:tcPr>
            <w:tcW w:type="dxa" w:w="5040"/>
          </w:tcPr>
          <w:p>
            <w:r>
              <w:t>07.08 Allocation and Risk</w:t>
            </w:r>
          </w:p>
        </w:tc>
        <w:tc>
          <w:tcPr>
            <w:tcW w:type="dxa" w:w="5040"/>
          </w:tcPr>
          <w:p>
            <w:r>
              <w:t>Risk/allocation implementation</w:t>
            </w:r>
          </w:p>
        </w:tc>
      </w:tr>
      <w:tr>
        <w:tc>
          <w:tcPr>
            <w:tcW w:type="dxa" w:w="5040"/>
          </w:tcPr>
          <w:p>
            <w:r>
              <w:t>07.09 Trade Lifecycle</w:t>
            </w:r>
          </w:p>
        </w:tc>
        <w:tc>
          <w:tcPr>
            <w:tcW w:type="dxa" w:w="5040"/>
          </w:tcPr>
          <w:p>
            <w:r>
              <w:t>Trade/position implementation</w:t>
            </w:r>
          </w:p>
        </w:tc>
      </w:tr>
      <w:tr>
        <w:tc>
          <w:tcPr>
            <w:tcW w:type="dxa" w:w="5040"/>
          </w:tcPr>
          <w:p>
            <w:r>
              <w:t>07.10 Replay and Simulation</w:t>
            </w:r>
          </w:p>
        </w:tc>
        <w:tc>
          <w:tcPr>
            <w:tcW w:type="dxa" w:w="5040"/>
          </w:tcPr>
          <w:p>
            <w:r>
              <w:t>Simulation/replay implementation</w:t>
            </w:r>
          </w:p>
        </w:tc>
      </w:tr>
      <w:tr>
        <w:tc>
          <w:tcPr>
            <w:tcW w:type="dxa" w:w="5040"/>
          </w:tcPr>
          <w:p>
            <w:r>
              <w:t>07.11 Regression Framework</w:t>
            </w:r>
          </w:p>
        </w:tc>
        <w:tc>
          <w:tcPr>
            <w:tcW w:type="dxa" w:w="5040"/>
          </w:tcPr>
          <w:p>
            <w:r>
              <w:t>Automated quality gates</w:t>
            </w:r>
          </w:p>
        </w:tc>
      </w:tr>
      <w:tr>
        <w:tc>
          <w:tcPr>
            <w:tcW w:type="dxa" w:w="5040"/>
          </w:tcPr>
          <w:p>
            <w:r>
              <w:t>07.12 Repository/Database Schema</w:t>
            </w:r>
          </w:p>
        </w:tc>
        <w:tc>
          <w:tcPr>
            <w:tcW w:type="dxa" w:w="5040"/>
          </w:tcPr>
          <w:p>
            <w:r>
              <w:t>Persistence</w:t>
            </w:r>
          </w:p>
        </w:tc>
      </w:tr>
      <w:tr>
        <w:tc>
          <w:tcPr>
            <w:tcW w:type="dxa" w:w="5040"/>
          </w:tcPr>
          <w:p>
            <w:r>
              <w:t>07.13 Sequence Diagrams</w:t>
            </w:r>
          </w:p>
        </w:tc>
        <w:tc>
          <w:tcPr>
            <w:tcW w:type="dxa" w:w="5040"/>
          </w:tcPr>
          <w:p>
            <w:r>
              <w:t>Interaction contracts</w:t>
            </w:r>
          </w:p>
        </w:tc>
      </w:tr>
      <w:tr>
        <w:tc>
          <w:tcPr>
            <w:tcW w:type="dxa" w:w="5040"/>
          </w:tcPr>
          <w:p>
            <w:r>
              <w:t>07.14 State Machines</w:t>
            </w:r>
          </w:p>
        </w:tc>
        <w:tc>
          <w:tcPr>
            <w:tcW w:type="dxa" w:w="5040"/>
          </w:tcPr>
          <w:p>
            <w:r>
              <w:t>Lifecycle contracts</w:t>
            </w:r>
          </w:p>
        </w:tc>
      </w:tr>
      <w:tr>
        <w:tc>
          <w:tcPr>
            <w:tcW w:type="dxa" w:w="5040"/>
          </w:tcPr>
          <w:p>
            <w:r>
              <w:t>07.15 Operations/Observability</w:t>
            </w:r>
          </w:p>
        </w:tc>
        <w:tc>
          <w:tcPr>
            <w:tcW w:type="dxa" w:w="5040"/>
          </w:tcPr>
          <w:p>
            <w:r>
              <w:t>Production operation</w:t>
            </w:r>
          </w:p>
        </w:tc>
      </w:tr>
      <w:tr>
        <w:tc>
          <w:tcPr>
            <w:tcW w:type="dxa" w:w="5040"/>
          </w:tcPr>
          <w:p>
            <w:r>
              <w:t>07.16 Plugin Framework</w:t>
            </w:r>
          </w:p>
        </w:tc>
        <w:tc>
          <w:tcPr>
            <w:tcW w:type="dxa" w:w="5040"/>
          </w:tcPr>
          <w:p>
            <w:r>
              <w:t>Extension/vendor isolation</w:t>
            </w:r>
          </w:p>
        </w:tc>
      </w:tr>
      <w:tr>
        <w:tc>
          <w:tcPr>
            <w:tcW w:type="dxa" w:w="5040"/>
          </w:tcPr>
          <w:p>
            <w:r>
              <w:t>07.17 AI Strategy Assistant</w:t>
            </w:r>
          </w:p>
        </w:tc>
        <w:tc>
          <w:tcPr>
            <w:tcW w:type="dxa" w:w="5040"/>
          </w:tcPr>
          <w:p>
            <w:r>
              <w:t>On-demand AI capability</w:t>
            </w:r>
          </w:p>
        </w:tc>
      </w:tr>
    </w:tbl>
    <w:p>
      <w:pPr>
        <w:pStyle w:val="Heading1"/>
      </w:pPr>
      <w:r>
        <w:t>Conclusion</w:t>
      </w:r>
    </w:p>
    <w:p>
      <w:r>
        <w:t>These guidelines provide the engineering guardrails for implementing the Profit-Bees strategy platform consistently. The central design is deliberately strict around the areas that affect trading correctness: durable normalized observations, per-EvaluationKey serialization through the Execution Mailbox / Partition Manager, deterministic strategy evaluation, immutable versioning, independent allocation/risk authority, guarded trade lifecycle, isolated broker plugins and deterministic replay/regression. Operational telemetry and security are built into the implementation rather than added later. AI remains a separate, explicitly user-triggered explanation capability and must never become a dependency of trade generation or execution.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