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07.6 – Rule Engine</w:t>
      </w:r>
    </w:p>
    <w:p>
      <w:pPr>
        <w:jc w:val="center"/>
      </w:pPr>
      <w:r>
        <w:rPr>
          <w:b/>
        </w:rPr>
        <w:t>Profit-Bees Strategy Platform | Version 1.0 – Review Draft</w:t>
      </w:r>
    </w:p>
    <w:p>
      <w:r>
        <w:t>Defines the deterministic, stateless rule evaluation component used by the Workflow Engine. It evaluates compiled strategy conditions against normalized market observations, immutable execution-state snapshots and bounded history.</w:t>
      </w:r>
    </w:p>
    <w:p>
      <w:r>
        <w:t>Aligned with 07.3 Strategy DSL, 07.4 Strategy Compiler Design and 07.5 Workflow Engine, including the latest Execution Mailbox / Partition Manager decision: one active workflow evaluation per StrategyExecutionId + InstrumentId, with parallelism across independent keys.</w:t>
      </w:r>
    </w:p>
    <w:p>
      <w:pPr>
        <w:pStyle w:val="Heading1"/>
      </w:pPr>
      <w:r>
        <w:t>1. Scope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Compiled predicate and boolean evaluation</w:t>
            </w:r>
          </w:p>
        </w:tc>
        <w:tc>
          <w:tcPr>
            <w:tcW w:type="dxa" w:w="5040"/>
          </w:tcPr>
          <w:p>
            <w:r>
              <w:t>Broker WebSocket ingestion</w:t>
            </w:r>
          </w:p>
        </w:tc>
      </w:tr>
      <w:tr>
        <w:tc>
          <w:tcPr>
            <w:tcW w:type="dxa" w:w="5040"/>
          </w:tcPr>
          <w:p>
            <w:r>
              <w:t>Observation/state/parameter access</w:t>
            </w:r>
          </w:p>
        </w:tc>
        <w:tc>
          <w:tcPr>
            <w:tcW w:type="dxa" w:w="5040"/>
          </w:tcPr>
          <w:p>
            <w:r>
              <w:t>Queue ownership or mailbox scheduling</w:t>
            </w:r>
          </w:p>
        </w:tc>
      </w:tr>
      <w:tr>
        <w:tc>
          <w:tcPr>
            <w:tcW w:type="dxa" w:w="5040"/>
          </w:tcPr>
          <w:p>
            <w:r>
              <w:t>Deterministic match results and diagnostics</w:t>
            </w:r>
          </w:p>
        </w:tc>
        <w:tc>
          <w:tcPr>
            <w:tcW w:type="dxa" w:w="5040"/>
          </w:tcPr>
          <w:p>
            <w:r>
              <w:t>Market observation persistence</w:t>
            </w:r>
          </w:p>
        </w:tc>
      </w:tr>
      <w:tr>
        <w:tc>
          <w:tcPr>
            <w:tcW w:type="dxa" w:w="5040"/>
          </w:tcPr>
          <w:p>
            <w:r>
              <w:t>Bounded history evaluation</w:t>
            </w:r>
          </w:p>
        </w:tc>
        <w:tc>
          <w:tcPr>
            <w:tcW w:type="dxa" w:w="5040"/>
          </w:tcPr>
          <w:p>
            <w:r>
              <w:t>Workflow state mutation</w:t>
            </w:r>
          </w:p>
        </w:tc>
      </w:tr>
      <w:tr>
        <w:tc>
          <w:tcPr>
            <w:tcW w:type="dxa" w:w="5040"/>
          </w:tcPr>
          <w:p>
            <w:r>
              <w:t>Rule trace and debugging data</w:t>
            </w:r>
          </w:p>
        </w:tc>
        <w:tc>
          <w:tcPr>
            <w:tcW w:type="dxa" w:w="5040"/>
          </w:tcPr>
          <w:p>
            <w:r>
              <w:t>Broker order placement or AI calls</w:t>
            </w:r>
          </w:p>
        </w:tc>
      </w:tr>
    </w:tbl>
    <w:p>
      <w:pPr>
        <w:pStyle w:val="Heading1"/>
      </w:pPr>
      <w:r>
        <w:t>2. Design Principle</w:t>
      </w:r>
    </w:p>
    <w:p>
      <w:r>
        <w:t>The Rule Engine is a pure evaluation component. Given the same compiled rule, EvaluationContext and compiler semantics, it produces the same result. It performs no database access, network I/O, queue operations, state mutation or broker calls.</w:t>
      </w:r>
    </w:p>
    <w:p>
      <w:r>
        <w:rPr>
          <w:rFonts w:ascii="Consolas" w:hAnsi="Consolas"/>
          <w:sz w:val="17"/>
        </w:rPr>
        <w:t>evaluate(compiledRule, EvaluationContext) -&gt; RuleEvaluationResult</w:t>
      </w:r>
    </w:p>
    <w:p>
      <w:pPr>
        <w:pStyle w:val="Heading1"/>
      </w:pPr>
      <w:r>
        <w:t>3. Runtime Position</w:t>
      </w:r>
    </w:p>
    <w:p>
      <w:r>
        <w:rPr>
          <w:rFonts w:ascii="Consolas" w:hAnsi="Consolas"/>
          <w:sz w:val="17"/>
        </w:rPr>
        <w:t>NormalizedMarketObservation</w:t>
        <w:br/>
        <w:t xml:space="preserve">        │</w:t>
        <w:br/>
        <w:t xml:space="preserve">        ▼</w:t>
        <w:br/>
        <w:t>Execution Mailbox / Partition Manager</w:t>
        <w:br/>
        <w:t xml:space="preserve">        │  (exclusive active processing per EvaluationKey)</w:t>
        <w:br/>
        <w:t xml:space="preserve">        ▼</w:t>
        <w:br/>
        <w:t>Workflow Engine</w:t>
        <w:br/>
        <w:t xml:space="preserve">        │</w:t>
        <w:br/>
        <w:t xml:space="preserve">        ├── ExecutablePlan</w:t>
        <w:br/>
        <w:t xml:space="preserve">        ├── ExecutionState snapshot</w:t>
        <w:br/>
        <w:t xml:space="preserve">        ▼</w:t>
        <w:br/>
        <w:t xml:space="preserve">    RULE ENGINE</w:t>
        <w:br/>
        <w:t xml:space="preserve">        │</w:t>
        <w:br/>
        <w:t xml:space="preserve">        ├── predicates</w:t>
        <w:br/>
        <w:t xml:space="preserve">        ├── boolean groups</w:t>
        <w:br/>
        <w:t xml:space="preserve">        ├── guards</w:t>
        <w:br/>
        <w:t xml:space="preserve">        └── trace/result</w:t>
        <w:br/>
        <w:t xml:space="preserve">        ▼</w:t>
        <w:br/>
        <w:t>Workflow Engine applies transition/actions</w:t>
      </w:r>
    </w:p>
    <w:p>
      <w:r>
        <w:t>Ticks arriving during evaluation remain queued in the same EvaluationKey mailbox. They do not concurrently invoke rule evaluation for that execution. Independent EvaluationKeys can evaluate concurrently because compiled rules and the Rule Engine are stateless/immutable.</w:t>
      </w:r>
    </w:p>
    <w:p>
      <w:pPr>
        <w:pStyle w:val="Heading1"/>
      </w:pPr>
      <w:r>
        <w:t>4. Evaluation Contract</w:t>
      </w:r>
    </w:p>
    <w:p>
      <w:r>
        <w:rPr>
          <w:rFonts w:ascii="Consolas" w:hAnsi="Consolas"/>
          <w:sz w:val="17"/>
        </w:rPr>
        <w:t>RuleEvaluationResult {</w:t>
        <w:br/>
        <w:t xml:space="preserve">  ruleId,</w:t>
        <w:br/>
        <w:t xml:space="preserve">  outcome,       // TRUE | FALSE | UNKNOWN | ERROR</w:t>
        <w:br/>
        <w:t xml:space="preserve">  matched,</w:t>
        <w:br/>
        <w:t xml:space="preserve">  evaluatedAt,</w:t>
        <w:br/>
        <w:t xml:space="preserve">  evaluationDuration,</w:t>
        <w:br/>
        <w:t xml:space="preserve">  reasonCode,</w:t>
        <w:br/>
        <w:t xml:space="preserve">  trace[],</w:t>
        <w:br/>
        <w:t xml:space="preserve">  referencedValues[]</w:t>
        <w:br/>
        <w: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Outcome</w:t>
            </w:r>
          </w:p>
        </w:tc>
        <w:tc>
          <w:tcPr>
            <w:tcW w:type="dxa" w:w="5040"/>
          </w:tcPr>
          <w:p>
            <w:r>
              <w:t>Meaning</w:t>
            </w:r>
          </w:p>
        </w:tc>
      </w:tr>
      <w:tr>
        <w:tc>
          <w:tcPr>
            <w:tcW w:type="dxa" w:w="5040"/>
          </w:tcPr>
          <w:p>
            <w:r>
              <w:t>TRUE</w:t>
            </w:r>
          </w:p>
        </w:tc>
        <w:tc>
          <w:tcPr>
            <w:tcW w:type="dxa" w:w="5040"/>
          </w:tcPr>
          <w:p>
            <w:r>
              <w:t>Rule matched</w:t>
            </w:r>
          </w:p>
        </w:tc>
      </w:tr>
      <w:tr>
        <w:tc>
          <w:tcPr>
            <w:tcW w:type="dxa" w:w="5040"/>
          </w:tcPr>
          <w:p>
            <w:r>
              <w:t>FALSE</w:t>
            </w:r>
          </w:p>
        </w:tc>
        <w:tc>
          <w:tcPr>
            <w:tcW w:type="dxa" w:w="5040"/>
          </w:tcPr>
          <w:p>
            <w:r>
              <w:t>Rule evaluated successfully and did not match</w:t>
            </w:r>
          </w:p>
        </w:tc>
      </w:tr>
      <w:tr>
        <w:tc>
          <w:tcPr>
            <w:tcW w:type="dxa" w:w="5040"/>
          </w:tcPr>
          <w:p>
            <w:r>
              <w:t>UNKNOWN</w:t>
            </w:r>
          </w:p>
        </w:tc>
        <w:tc>
          <w:tcPr>
            <w:tcW w:type="dxa" w:w="5040"/>
          </w:tcPr>
          <w:p>
            <w:r>
              <w:t>Required data unavailable or indeterminate</w:t>
            </w:r>
          </w:p>
        </w:tc>
      </w:tr>
      <w:tr>
        <w:tc>
          <w:tcPr>
            <w:tcW w:type="dxa" w:w="5040"/>
          </w:tcPr>
          <w:p>
            <w:r>
              <w:t>ERROR</w:t>
            </w:r>
          </w:p>
        </w:tc>
        <w:tc>
          <w:tcPr>
            <w:tcW w:type="dxa" w:w="5040"/>
          </w:tcPr>
          <w:p>
            <w:r>
              <w:t>Unexpected runtime evaluation failure</w:t>
            </w:r>
          </w:p>
        </w:tc>
      </w:tr>
    </w:tbl>
    <w:p>
      <w:pPr>
        <w:pStyle w:val="Heading1"/>
      </w:pPr>
      <w:r>
        <w:t>5. EvaluationContext</w:t>
      </w:r>
    </w:p>
    <w:p>
      <w:r>
        <w:rPr>
          <w:rFonts w:ascii="Consolas" w:hAnsi="Consolas"/>
          <w:sz w:val="17"/>
        </w:rPr>
        <w:t>EvaluationContext {</w:t>
        <w:br/>
        <w:t xml:space="preserve">  evaluationKey,</w:t>
        <w:br/>
        <w:t xml:space="preserve">  observation,</w:t>
        <w:br/>
        <w:t xml:space="preserve">  executionStateSnapshot,</w:t>
        <w:br/>
        <w:t xml:space="preserve">  parameters,</w:t>
        <w:br/>
        <w:t xml:space="preserve">  boundedHistory,</w:t>
        <w:br/>
        <w:t xml:space="preserve">  clockContext,</w:t>
        <w:br/>
        <w:t xml:space="preserve">  planFingerprint</w:t>
        <w:br/>
        <w:t>}</w:t>
      </w:r>
    </w:p>
    <w:p>
      <w:r>
        <w:t>The context is immutable for a single evaluation. The Rule Engine never reads mutable shared execution state directly.</w:t>
      </w:r>
    </w:p>
    <w:p>
      <w:pPr>
        <w:pStyle w:val="Heading1"/>
      </w:pPr>
      <w:r>
        <w:t>6. Operand Model and Operators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Operand</w:t>
            </w:r>
          </w:p>
        </w:tc>
        <w:tc>
          <w:tcPr>
            <w:tcW w:type="dxa" w:w="5040"/>
          </w:tcPr>
          <w:p>
            <w:r>
              <w:t>Examples</w:t>
            </w:r>
          </w:p>
        </w:tc>
      </w:tr>
      <w:tr>
        <w:tc>
          <w:tcPr>
            <w:tcW w:type="dxa" w:w="5040"/>
          </w:tcPr>
          <w:p>
            <w:r>
              <w:t>Observation</w:t>
            </w:r>
          </w:p>
        </w:tc>
        <w:tc>
          <w:tcPr>
            <w:tcW w:type="dxa" w:w="5040"/>
          </w:tcPr>
          <w:p>
            <w:r>
              <w:t>ltp, volume, openInterest, marketDepth</w:t>
            </w:r>
          </w:p>
        </w:tc>
      </w:tr>
      <w:tr>
        <w:tc>
          <w:tcPr>
            <w:tcW w:type="dxa" w:w="5040"/>
          </w:tcPr>
          <w:p>
            <w:r>
              <w:t>State variable</w:t>
            </w:r>
          </w:p>
        </w:tc>
        <w:tc>
          <w:tcPr>
            <w:tcW w:type="dxa" w:w="5040"/>
          </w:tcPr>
          <w:p>
            <w:r>
              <w:t>lowWatermark, highWatermark, counters</w:t>
            </w:r>
          </w:p>
        </w:tc>
      </w:tr>
      <w:tr>
        <w:tc>
          <w:tcPr>
            <w:tcW w:type="dxa" w:w="5040"/>
          </w:tcPr>
          <w:p>
            <w:r>
              <w:t>Parameter</w:t>
            </w:r>
          </w:p>
        </w:tc>
        <w:tc>
          <w:tcPr>
            <w:tcW w:type="dxa" w:w="5040"/>
          </w:tcPr>
          <w:p>
            <w:r>
              <w:t>buyMin, buyMax, reversalAmount, targetPct</w:t>
            </w:r>
          </w:p>
        </w:tc>
      </w:tr>
      <w:tr>
        <w:tc>
          <w:tcPr>
            <w:tcW w:type="dxa" w:w="5040"/>
          </w:tcPr>
          <w:p>
            <w:r>
              <w:t>Constant</w:t>
            </w:r>
          </w:p>
        </w:tc>
        <w:tc>
          <w:tcPr>
            <w:tcW w:type="dxa" w:w="5040"/>
          </w:tcPr>
          <w:p>
            <w:r>
              <w:t>100, 0.5, true</w:t>
            </w:r>
          </w:p>
        </w:tc>
      </w:tr>
      <w:tr>
        <w:tc>
          <w:tcPr>
            <w:tcW w:type="dxa" w:w="5040"/>
          </w:tcPr>
          <w:p>
            <w:r>
              <w:t>Derived/window</w:t>
            </w:r>
          </w:p>
        </w:tc>
        <w:tc>
          <w:tcPr>
            <w:tcW w:type="dxa" w:w="5040"/>
          </w:tcPr>
          <w:p>
            <w:r>
              <w:t>MIN, MAX, AVG, COUNT, percentage change</w:t>
            </w:r>
          </w:p>
        </w:tc>
      </w:tr>
    </w:tbl>
    <w:tbl>
      <w:tblPr>
        <w:tblStyle w:val="LightShading-Accent1"/>
        <w:tblW w:type="auto" w:w="0"/>
        <w:jc w:val="center"/>
        <w:tblLook w:firstColumn="1" w:firstRow="1" w:lastColumn="0" w:lastRow="0" w:noHBand="0" w:noVBand="1" w:val="04A0"/>
      </w:tblPr>
      <w:tblGrid>
        <w:gridCol w:w="5040"/>
        <w:gridCol w:w="5040"/>
      </w:tblGrid>
      <w:tr>
        <w:tc>
          <w:tcPr>
            <w:tcW w:type="dxa" w:w="5040"/>
          </w:tcPr>
          <w:p>
            <w:r>
              <w:t>Operator Category</w:t>
            </w:r>
          </w:p>
        </w:tc>
        <w:tc>
          <w:tcPr>
            <w:tcW w:type="dxa" w:w="5040"/>
          </w:tcPr>
          <w:p>
            <w:r>
              <w:t>Examples</w:t>
            </w:r>
          </w:p>
        </w:tc>
      </w:tr>
      <w:tr>
        <w:tc>
          <w:tcPr>
            <w:tcW w:type="dxa" w:w="5040"/>
          </w:tcPr>
          <w:p>
            <w:r>
              <w:t>Comparison</w:t>
            </w:r>
          </w:p>
        </w:tc>
        <w:tc>
          <w:tcPr>
            <w:tcW w:type="dxa" w:w="5040"/>
          </w:tcPr>
          <w:p>
            <w:r>
              <w:t>EQ, NE, GT, GTE, LT, LTE</w:t>
            </w:r>
          </w:p>
        </w:tc>
      </w:tr>
      <w:tr>
        <w:tc>
          <w:tcPr>
            <w:tcW w:type="dxa" w:w="5040"/>
          </w:tcPr>
          <w:p>
            <w:r>
              <w:t>Range</w:t>
            </w:r>
          </w:p>
        </w:tc>
        <w:tc>
          <w:tcPr>
            <w:tcW w:type="dxa" w:w="5040"/>
          </w:tcPr>
          <w:p>
            <w:r>
              <w:t>BETWEEN, NOT_BETWEEN</w:t>
            </w:r>
          </w:p>
        </w:tc>
      </w:tr>
      <w:tr>
        <w:tc>
          <w:tcPr>
            <w:tcW w:type="dxa" w:w="5040"/>
          </w:tcPr>
          <w:p>
            <w:r>
              <w:t>Boolean</w:t>
            </w:r>
          </w:p>
        </w:tc>
        <w:tc>
          <w:tcPr>
            <w:tcW w:type="dxa" w:w="5040"/>
          </w:tcPr>
          <w:p>
            <w:r>
              <w:t>ALL, ANY, NOT</w:t>
            </w:r>
          </w:p>
        </w:tc>
      </w:tr>
      <w:tr>
        <w:tc>
          <w:tcPr>
            <w:tcW w:type="dxa" w:w="5040"/>
          </w:tcPr>
          <w:p>
            <w:r>
              <w:t>Existence</w:t>
            </w:r>
          </w:p>
        </w:tc>
        <w:tc>
          <w:tcPr>
            <w:tcW w:type="dxa" w:w="5040"/>
          </w:tcPr>
          <w:p>
            <w:r>
              <w:t>IS_PRESENT, IS_MISSING</w:t>
            </w:r>
          </w:p>
        </w:tc>
      </w:tr>
      <w:tr>
        <w:tc>
          <w:tcPr>
            <w:tcW w:type="dxa" w:w="5040"/>
          </w:tcPr>
          <w:p>
            <w:r>
              <w:t>Numeric</w:t>
            </w:r>
          </w:p>
        </w:tc>
        <w:tc>
          <w:tcPr>
            <w:tcW w:type="dxa" w:w="5040"/>
          </w:tcPr>
          <w:p>
            <w:r>
              <w:t>INCREASED_BY, DECREASED_BY, PCT_CHANGE</w:t>
            </w:r>
          </w:p>
        </w:tc>
      </w:tr>
      <w:tr>
        <w:tc>
          <w:tcPr>
            <w:tcW w:type="dxa" w:w="5040"/>
          </w:tcPr>
          <w:p>
            <w:r>
              <w:t>Time</w:t>
            </w:r>
          </w:p>
        </w:tc>
        <w:tc>
          <w:tcPr>
            <w:tcW w:type="dxa" w:w="5040"/>
          </w:tcPr>
          <w:p>
            <w:r>
              <w:t>WITHIN_DURATION, AFTER_DURATION</w:t>
            </w:r>
          </w:p>
        </w:tc>
      </w:tr>
    </w:tbl>
    <w:p>
      <w:r>
        <w:t>The Strategy Compiler resolves all symbols into typed accessors. The Rule Engine performs no runtime JSON-path or string-symbol lookup. Operators are whitelisted and versioned.</w:t>
      </w:r>
    </w:p>
    <w:p>
      <w:pPr>
        <w:pStyle w:val="Heading1"/>
      </w:pPr>
      <w:r>
        <w:t>7. Boolean and Missing-Data Semantics</w:t>
      </w:r>
    </w:p>
    <w:p>
      <w:r>
        <w:t>Boolean evaluation is deterministic. Short-circuiting may be used in production mode where semantics allow; expanded trace mode may collect additional node outcomes without changing the final result.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Condition</w:t>
            </w:r>
          </w:p>
        </w:tc>
        <w:tc>
          <w:tcPr>
            <w:tcW w:type="dxa" w:w="5040"/>
          </w:tcPr>
          <w:p>
            <w:r>
              <w:t>Default Result</w:t>
            </w:r>
          </w:p>
        </w:tc>
      </w:tr>
      <w:tr>
        <w:tc>
          <w:tcPr>
            <w:tcW w:type="dxa" w:w="5040"/>
          </w:tcPr>
          <w:p>
            <w:r>
              <w:t>Required field missing</w:t>
            </w:r>
          </w:p>
        </w:tc>
        <w:tc>
          <w:tcPr>
            <w:tcW w:type="dxa" w:w="5040"/>
          </w:tcPr>
          <w:p>
            <w:r>
              <w:t>UNKNOWN unless explicit DSL handling exists</w:t>
            </w:r>
          </w:p>
        </w:tc>
      </w:tr>
      <w:tr>
        <w:tc>
          <w:tcPr>
            <w:tcW w:type="dxa" w:w="5040"/>
          </w:tcPr>
          <w:p>
            <w:r>
              <w:t>Optional field + IS_MISSING</w:t>
            </w:r>
          </w:p>
        </w:tc>
        <w:tc>
          <w:tcPr>
            <w:tcW w:type="dxa" w:w="5040"/>
          </w:tcPr>
          <w:p>
            <w:r>
              <w:t>TRUE</w:t>
            </w:r>
          </w:p>
        </w:tc>
      </w:tr>
      <w:tr>
        <w:tc>
          <w:tcPr>
            <w:tcW w:type="dxa" w:w="5040"/>
          </w:tcPr>
          <w:p>
            <w:r>
              <w:t>Invalid type conversion</w:t>
            </w:r>
          </w:p>
        </w:tc>
        <w:tc>
          <w:tcPr>
            <w:tcW w:type="dxa" w:w="5040"/>
          </w:tcPr>
          <w:p>
            <w:r>
              <w:t>ERROR</w:t>
            </w:r>
          </w:p>
        </w:tc>
      </w:tr>
      <w:tr>
        <w:tc>
          <w:tcPr>
            <w:tcW w:type="dxa" w:w="5040"/>
          </w:tcPr>
          <w:p>
            <w:r>
              <w:t>Stale observation</w:t>
            </w:r>
          </w:p>
        </w:tc>
        <w:tc>
          <w:tcPr>
            <w:tcW w:type="dxa" w:w="5040"/>
          </w:tcPr>
          <w:p>
            <w:r>
              <w:t>UNKNOWN or FALSE according to compiled guard</w:t>
            </w:r>
          </w:p>
        </w:tc>
      </w:tr>
      <w:tr>
        <w:tc>
          <w:tcPr>
            <w:tcW w:type="dxa" w:w="5040"/>
          </w:tcPr>
          <w:p>
            <w:r>
              <w:t>Invalid data quality</w:t>
            </w:r>
          </w:p>
        </w:tc>
        <w:tc>
          <w:tcPr>
            <w:tcW w:type="dxa" w:w="5040"/>
          </w:tcPr>
          <w:p>
            <w:r>
              <w:t>FALSE/UNKNOWN according to policy</w:t>
            </w:r>
          </w:p>
        </w:tc>
      </w:tr>
    </w:tbl>
    <w:p>
      <w:pPr>
        <w:pStyle w:val="Heading1"/>
      </w:pPr>
      <w:r>
        <w:t>8. Buy-Low / Sell-Target Example</w:t>
      </w:r>
    </w:p>
    <w:p>
      <w:r>
        <w:rPr>
          <w:rFonts w:ascii="Consolas" w:hAnsi="Consolas"/>
          <w:sz w:val="17"/>
        </w:rPr>
        <w:t>withinBuyRange:</w:t>
        <w:br/>
        <w:t xml:space="preserve">  ltp &gt;= buyMin AND ltp &lt;= buyMax</w:t>
        <w:br/>
        <w:br/>
        <w:t>newLowerLow:</w:t>
        <w:br/>
        <w:t xml:space="preserve">  ltp &lt; state.lowWatermark</w:t>
        <w:br/>
        <w:br/>
        <w:t>reversalConfirmed:</w:t>
        <w:br/>
        <w:t xml:space="preserve">  ltp &gt;= state.lowWatermark + reversalAmount</w:t>
        <w:br/>
        <w:br/>
        <w:t>buyTrigger:</w:t>
        <w:br/>
        <w:t xml:space="preserve">  ALL(withinBuyRange, reversalConfirmed)</w:t>
      </w:r>
    </w:p>
    <w:p>
      <w:r>
        <w:t>The Rule Engine only determines matches. Updating lowWatermark, changing workflow state and generating CandidateIntent(BUY) are responsibilities of the Workflow Engine and compiled state/action logic.</w:t>
      </w:r>
    </w:p>
    <w:p>
      <w:pPr>
        <w:pStyle w:val="Heading1"/>
      </w:pPr>
      <w:r>
        <w:t>9. Intermediate Tick Correctness</w:t>
      </w:r>
    </w:p>
    <w:p>
      <w:r>
        <w:t>For tick-sensitive strategies, EVERY_TICK preserves every accepted observation in mailbox order. If COALESCE_WINDOW is configured, the runtime must preserve every value needed by compiled semantics.</w:t>
      </w:r>
    </w:p>
    <w:p>
      <w:r>
        <w:rPr>
          <w:rFonts w:ascii="Consolas" w:hAnsi="Consolas"/>
          <w:sz w:val="17"/>
        </w:rPr>
        <w:t>Burst: 1250 → 1245 → 1252</w:t>
        <w:br/>
        <w:br/>
        <w:t>Latest-only = 1252       (incorrect for low tracking)</w:t>
        <w:br/>
        <w:t>Semantic summary:</w:t>
        <w:br/>
        <w:t>first=1250, min=1245, max=1252, last=1252, count=3</w:t>
      </w:r>
    </w:p>
    <w:p>
      <w:r>
        <w:t>If exact intermediate ordering is required, a summary that loses order is incompatible and strategy activation must reject that evaluation policy.</w:t>
      </w:r>
    </w:p>
    <w:p>
      <w:pPr>
        <w:pStyle w:val="Heading1"/>
      </w:pPr>
      <w:r>
        <w:t>10. History and Window Functions</w:t>
      </w:r>
    </w:p>
    <w:p>
      <w:r>
        <w:t>The Rule Engine does not query storage. Bounded history is supplied by the runtime through EvaluationContext.</w:t>
      </w:r>
    </w:p>
    <w:p>
      <w:pPr>
        <w:pStyle w:val="ListBullet"/>
      </w:pPr>
      <w:r>
        <w:t>MIN and MAX for bounded windows.</w:t>
      </w:r>
    </w:p>
    <w:p>
      <w:pPr>
        <w:pStyle w:val="ListBullet"/>
      </w:pPr>
      <w:r>
        <w:t>AVG and COUNT for supported observation windows.</w:t>
      </w:r>
    </w:p>
    <w:p>
      <w:pPr>
        <w:pStyle w:val="ListBullet"/>
      </w:pPr>
      <w:r>
        <w:t>Percentage change from a defined reference point.</w:t>
      </w:r>
    </w:p>
    <w:p>
      <w:pPr>
        <w:pStyle w:val="ListBullet"/>
      </w:pPr>
      <w:r>
        <w:t>Time-based checks using canonical instants and durations.</w:t>
      </w:r>
    </w:p>
    <w:p>
      <w:r>
        <w:t>Window sizes and durations are bounded and validated to protect memory and latency.</w:t>
      </w:r>
    </w:p>
    <w:p>
      <w:pPr>
        <w:pStyle w:val="Heading1"/>
      </w:pPr>
      <w:r>
        <w:t>11. Evaluation Algorithm</w:t>
      </w:r>
    </w:p>
    <w:p>
      <w:r>
        <w:rPr>
          <w:rFonts w:ascii="Consolas" w:hAnsi="Consolas"/>
          <w:sz w:val="17"/>
        </w:rPr>
        <w:t>evaluate(rule, context):</w:t>
        <w:br/>
        <w:t xml:space="preserve">    validateContextCompatibility()</w:t>
        <w:br/>
        <w:br/>
        <w:t xml:space="preserve">    for node in rule.deterministicEvaluationOrder:</w:t>
        <w:br/>
        <w:t xml:space="preserve">        value = node.evaluate(context)</w:t>
        <w:br/>
        <w:t xml:space="preserve">        recordTrace(node, value)</w:t>
        <w:br/>
        <w:br/>
        <w:t xml:space="preserve">        if node has terminal outcome:</w:t>
        <w:br/>
        <w:t xml:space="preserve">            return buildResult(...)</w:t>
        <w:br/>
        <w:br/>
        <w:t xml:space="preserve">    return buildResult(...)</w:t>
      </w:r>
    </w:p>
    <w:p>
      <w:r>
        <w:t>Compiled nodes are immutable and reusable. EvaluationContext and RuleEvaluationResult are per-invocation.</w:t>
      </w:r>
    </w:p>
    <w:p>
      <w:pPr>
        <w:pStyle w:val="Heading1"/>
      </w:pPr>
      <w:r>
        <w:t>12. Rule Trace and Debugging</w:t>
      </w:r>
    </w:p>
    <w:p>
      <w:r>
        <w:rPr>
          <w:rFonts w:ascii="Consolas" w:hAnsi="Consolas"/>
          <w:sz w:val="17"/>
        </w:rPr>
        <w:t>RuleTraceEntry {</w:t>
        <w:br/>
        <w:t xml:space="preserve">  nodeId,</w:t>
        <w:br/>
        <w:t xml:space="preserve">  sourcePath,</w:t>
        <w:br/>
        <w:t xml:space="preserve">  operator,</w:t>
        <w:br/>
        <w:t xml:space="preserve">  resolvedLeftValue,</w:t>
        <w:br/>
        <w:t xml:space="preserve">  resolvedRightValue,</w:t>
        <w:br/>
        <w:t xml:space="preserve">  outcome,</w:t>
        <w:br/>
        <w:t xml:space="preserve">  reasonCode,</w:t>
        <w:br/>
        <w:t xml:space="preserve">  evaluationTime</w:t>
        <w:br/>
        <w:t>}</w:t>
      </w:r>
    </w:p>
    <w:p>
      <w:r>
        <w:t>Trace data supports manual debugging, simulation and controlled explanation. The on-demand AI explanation feature should consume a curated explanation payload or trace summary and remain outside the synchronous tick-evaluation path.</w:t>
      </w:r>
    </w:p>
    <w:p>
      <w:pPr>
        <w:pStyle w:val="Heading1"/>
      </w:pPr>
      <w:r>
        <w:t>13. Timestamp and Data Quality Guards</w:t>
      </w:r>
    </w:p>
    <w:p>
      <w:r>
        <w:t>Rules may guard against stale, invalid or out-of-order observations according to the normalized observation contract. Canonical instants are used for comparisons; IST conversion is applied consistently for required business display, reporting and audit views.</w:t>
      </w:r>
    </w:p>
    <w:p>
      <w:pPr>
        <w:pStyle w:val="ListBullet"/>
      </w:pPr>
      <w:r>
        <w:t>Use source sequence when the source guarantees authoritative ordering.</w:t>
      </w:r>
    </w:p>
    <w:p>
      <w:pPr>
        <w:pStyle w:val="ListBullet"/>
      </w:pPr>
      <w:r>
        <w:t>Do not compare localized timestamp strings.</w:t>
      </w:r>
    </w:p>
    <w:p>
      <w:pPr>
        <w:pStyle w:val="ListBullet"/>
      </w:pPr>
      <w:r>
        <w:t>Represent freshness as duration from a defined source/platform time reference.</w:t>
      </w:r>
    </w:p>
    <w:p>
      <w:pPr>
        <w:pStyle w:val="Heading1"/>
      </w:pPr>
      <w:r>
        <w:t>14. Integration with Execution Mailbox</w:t>
      </w:r>
    </w:p>
    <w:p>
      <w:r>
        <w:rPr>
          <w:rFonts w:ascii="Consolas" w:hAnsi="Consolas"/>
          <w:sz w:val="17"/>
        </w:rPr>
        <w:t>Mailbox(EvaluationKey)</w:t>
        <w:br/>
        <w:t xml:space="preserve">  O1 → Workflow → RuleEngine → result</w:t>
        <w:br/>
        <w:t xml:space="preserve">  O2 → Workflow → RuleEngine → result</w:t>
        <w:br/>
        <w:t xml:space="preserve">  O3 → Workflow → RuleEngine → result</w:t>
        <w:br/>
        <w:br/>
        <w:t>No overlap for the same key.</w:t>
      </w:r>
    </w:p>
    <w:p>
      <w:r>
        <w:t>The Rule Engine does not own queueing. The Execution Mailbox / Partition Manager and Workflow Engine guarantee same-key exclusivity.</w:t>
      </w:r>
    </w:p>
    <w:p>
      <w:pPr>
        <w:pStyle w:val="Heading1"/>
      </w:pPr>
      <w:r>
        <w:t>15. Failure Handling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Handling</w:t>
            </w:r>
          </w:p>
        </w:tc>
      </w:tr>
      <w:tr>
        <w:tc>
          <w:tcPr>
            <w:tcW w:type="dxa" w:w="5040"/>
          </w:tcPr>
          <w:p>
            <w:r>
              <w:t>Missing data</w:t>
            </w:r>
          </w:p>
        </w:tc>
        <w:tc>
          <w:tcPr>
            <w:tcW w:type="dxa" w:w="5040"/>
          </w:tcPr>
          <w:p>
            <w:r>
              <w:t>UNKNOWN with reason code</w:t>
            </w:r>
          </w:p>
        </w:tc>
      </w:tr>
      <w:tr>
        <w:tc>
          <w:tcPr>
            <w:tcW w:type="dxa" w:w="5040"/>
          </w:tcPr>
          <w:p>
            <w:r>
              <w:t>History unavailable</w:t>
            </w:r>
          </w:p>
        </w:tc>
        <w:tc>
          <w:tcPr>
            <w:tcW w:type="dxa" w:w="5040"/>
          </w:tcPr>
          <w:p>
            <w:r>
              <w:t>UNKNOWN unless explicit fallback</w:t>
            </w:r>
          </w:p>
        </w:tc>
      </w:tr>
      <w:tr>
        <w:tc>
          <w:tcPr>
            <w:tcW w:type="dxa" w:w="5040"/>
          </w:tcPr>
          <w:p>
            <w:r>
              <w:t>Runtime exception</w:t>
            </w:r>
          </w:p>
        </w:tc>
        <w:tc>
          <w:tcPr>
            <w:tcW w:type="dxa" w:w="5040"/>
          </w:tcPr>
          <w:p>
            <w:r>
              <w:t>ERROR; no state mutation</w:t>
            </w:r>
          </w:p>
        </w:tc>
      </w:tr>
      <w:tr>
        <w:tc>
          <w:tcPr>
            <w:tcW w:type="dxa" w:w="5040"/>
          </w:tcPr>
          <w:p>
            <w:r>
              <w:t>Plan/context mismatch</w:t>
            </w:r>
          </w:p>
        </w:tc>
        <w:tc>
          <w:tcPr>
            <w:tcW w:type="dxa" w:w="5040"/>
          </w:tcPr>
          <w:p>
            <w:r>
              <w:t>Safe workflow failure with diagnostic</w:t>
            </w:r>
          </w:p>
        </w:tc>
      </w:tr>
      <w:tr>
        <w:tc>
          <w:tcPr>
            <w:tcW w:type="dxa" w:w="5040"/>
          </w:tcPr>
          <w:p>
            <w:r>
              <w:t>Poison observation</w:t>
            </w:r>
          </w:p>
        </w:tc>
        <w:tc>
          <w:tcPr>
            <w:tcW w:type="dxa" w:w="5040"/>
          </w:tcPr>
          <w:p>
            <w:r>
              <w:t>Workflow-level quarantine/retry policy</w:t>
            </w:r>
          </w:p>
        </w:tc>
      </w:tr>
    </w:tbl>
    <w:p>
      <w:pPr>
        <w:pStyle w:val="Heading1"/>
      </w:pPr>
      <w:r>
        <w:t>16. Performance and Observability</w:t>
      </w:r>
    </w:p>
    <w:p>
      <w:pPr>
        <w:pStyle w:val="ListBullet"/>
      </w:pPr>
      <w:r>
        <w:t>No database or network calls during evaluation.</w:t>
      </w:r>
    </w:p>
    <w:p>
      <w:pPr>
        <w:pStyle w:val="ListBullet"/>
      </w:pPr>
      <w:r>
        <w:t>No reflection, dynamic scripts or runtime symbol resolution.</w:t>
      </w:r>
    </w:p>
    <w:p>
      <w:pPr>
        <w:pStyle w:val="ListBullet"/>
      </w:pPr>
      <w:r>
        <w:t>Bounded history and complexity limits.</w:t>
      </w:r>
    </w:p>
    <w:p>
      <w:pPr>
        <w:pStyle w:val="ListBullet"/>
      </w:pPr>
      <w:r>
        <w:t>Minimal trace for normal production; expanded trace for diagnostics.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rule_evaluation_duration</w:t>
            </w:r>
          </w:p>
        </w:tc>
        <w:tc>
          <w:tcPr>
            <w:tcW w:type="dxa" w:w="5040"/>
          </w:tcPr>
          <w:p>
            <w:r>
              <w:t>Latency</w:t>
            </w:r>
          </w:p>
        </w:tc>
      </w:tr>
      <w:tr>
        <w:tc>
          <w:tcPr>
            <w:tcW w:type="dxa" w:w="5040"/>
          </w:tcPr>
          <w:p>
            <w:r>
              <w:t>rule_match_total</w:t>
            </w:r>
          </w:p>
        </w:tc>
        <w:tc>
          <w:tcPr>
            <w:tcW w:type="dxa" w:w="5040"/>
          </w:tcPr>
          <w:p>
            <w:r>
              <w:t>Rule match frequency</w:t>
            </w:r>
          </w:p>
        </w:tc>
      </w:tr>
      <w:tr>
        <w:tc>
          <w:tcPr>
            <w:tcW w:type="dxa" w:w="5040"/>
          </w:tcPr>
          <w:p>
            <w:r>
              <w:t>rule_unknown_total</w:t>
            </w:r>
          </w:p>
        </w:tc>
        <w:tc>
          <w:tcPr>
            <w:tcW w:type="dxa" w:w="5040"/>
          </w:tcPr>
          <w:p>
            <w:r>
              <w:t>Data availability issues</w:t>
            </w:r>
          </w:p>
        </w:tc>
      </w:tr>
      <w:tr>
        <w:tc>
          <w:tcPr>
            <w:tcW w:type="dxa" w:w="5040"/>
          </w:tcPr>
          <w:p>
            <w:r>
              <w:t>rule_error_total</w:t>
            </w:r>
          </w:p>
        </w:tc>
        <w:tc>
          <w:tcPr>
            <w:tcW w:type="dxa" w:w="5040"/>
          </w:tcPr>
          <w:p>
            <w:r>
              <w:t>Runtime failures</w:t>
            </w:r>
          </w:p>
        </w:tc>
      </w:tr>
      <w:tr>
        <w:tc>
          <w:tcPr>
            <w:tcW w:type="dxa" w:w="5040"/>
          </w:tcPr>
          <w:p>
            <w:r>
              <w:t>history_window_size</w:t>
            </w:r>
          </w:p>
        </w:tc>
        <w:tc>
          <w:tcPr>
            <w:tcW w:type="dxa" w:w="5040"/>
          </w:tcPr>
          <w:p>
            <w:r>
              <w:t>Resource usage</w:t>
            </w:r>
          </w:p>
        </w:tc>
      </w:tr>
      <w:tr>
        <w:tc>
          <w:tcPr>
            <w:tcW w:type="dxa" w:w="5040"/>
          </w:tcPr>
          <w:p>
            <w:r>
              <w:t>trace_capture_total</w:t>
            </w:r>
          </w:p>
        </w:tc>
        <w:tc>
          <w:tcPr>
            <w:tcW w:type="dxa" w:w="5040"/>
          </w:tcPr>
          <w:p>
            <w:r>
              <w:t>Diagnostic overhead</w:t>
            </w:r>
          </w:p>
        </w:tc>
      </w:tr>
    </w:tbl>
    <w:p>
      <w:pPr>
        <w:pStyle w:val="Heading1"/>
      </w:pPr>
      <w:r>
        <w:t>17. Security</w:t>
      </w:r>
    </w:p>
    <w:p>
      <w:pPr>
        <w:pStyle w:val="ListBullet"/>
      </w:pPr>
      <w:r>
        <w:t>Only compiler-approved nodes/operators execute.</w:t>
      </w:r>
    </w:p>
    <w:p>
      <w:pPr>
        <w:pStyle w:val="ListBullet"/>
      </w:pPr>
      <w:r>
        <w:t>No arbitrary user code, class names, reflection or scripting.</w:t>
      </w:r>
    </w:p>
    <w:p>
      <w:pPr>
        <w:pStyle w:val="ListBullet"/>
      </w:pPr>
      <w:r>
        <w:t>Nesting, node count and history limits are enforced.</w:t>
      </w:r>
    </w:p>
    <w:p>
      <w:pPr>
        <w:pStyle w:val="ListBullet"/>
      </w:pPr>
      <w:r>
        <w:t>Trace access is controlled because it may reveal strategy configuration.</w:t>
      </w:r>
    </w:p>
    <w:p>
      <w:pPr>
        <w:pStyle w:val="Heading1"/>
      </w:pPr>
      <w:r>
        <w:t>18. Testing Strategy</w:t>
      </w:r>
    </w:p>
    <w:p>
      <w:pPr>
        <w:pStyle w:val="ListBullet"/>
      </w:pPr>
      <w:r>
        <w:t>Operator boundary and numeric-precision tests.</w:t>
      </w:r>
    </w:p>
    <w:p>
      <w:pPr>
        <w:pStyle w:val="ListBullet"/>
      </w:pPr>
      <w:r>
        <w:t>Truth tables for ALL, ANY and NOT.</w:t>
      </w:r>
    </w:p>
    <w:p>
      <w:pPr>
        <w:pStyle w:val="ListBullet"/>
      </w:pPr>
      <w:r>
        <w:t>Missing/UNKNOWN behavior tests.</w:t>
      </w:r>
    </w:p>
    <w:p>
      <w:pPr>
        <w:pStyle w:val="ListBullet"/>
      </w:pPr>
      <w:r>
        <w:t>Golden DSL → compiled rule → deterministic outcome tests.</w:t>
      </w:r>
    </w:p>
    <w:p>
      <w:pPr>
        <w:pStyle w:val="ListBullet"/>
      </w:pPr>
      <w:r>
        <w:t>Buy-low stream test: 1250 → 1245 → 1252.</w:t>
      </w:r>
    </w:p>
    <w:p>
      <w:pPr>
        <w:pStyle w:val="ListBullet"/>
      </w:pPr>
      <w:r>
        <w:t>Coalescing compatibility tests.</w:t>
      </w:r>
    </w:p>
    <w:p>
      <w:pPr>
        <w:pStyle w:val="ListBullet"/>
      </w:pPr>
      <w:r>
        <w:t>Concurrent independent-key thread-safety tests.</w:t>
      </w:r>
    </w:p>
    <w:p>
      <w:pPr>
        <w:pStyle w:val="ListBullet"/>
      </w:pPr>
      <w:r>
        <w:t>Replay tests with identical observations and plan fingerprints.</w:t>
      </w:r>
    </w:p>
    <w:p>
      <w:pPr>
        <w:pStyle w:val="ListBullet"/>
      </w:pPr>
      <w:r>
        <w:t>Performance tests with bounded history and large rule sets.</w:t>
      </w:r>
    </w:p>
    <w:p>
      <w:pPr>
        <w:pStyle w:val="ListBullet"/>
      </w:pPr>
      <w:r>
        <w:t>Fault-injection tests for malformed contexts and stale observations.</w:t>
      </w:r>
    </w:p>
    <w:p>
      <w:pPr>
        <w:pStyle w:val="Heading1"/>
      </w:pPr>
      <w:r>
        <w:t>19. Suggested Java Interfaces</w:t>
      </w:r>
    </w:p>
    <w:p>
      <w:r>
        <w:rPr>
          <w:rFonts w:ascii="Consolas" w:hAnsi="Consolas"/>
          <w:sz w:val="17"/>
        </w:rPr>
        <w:t>public interface RuleEngine {</w:t>
        <w:br/>
        <w:t xml:space="preserve">    RuleEvaluationResult evaluate(</w:t>
        <w:br/>
        <w:t xml:space="preserve">        CompiledRule rule,</w:t>
        <w:br/>
        <w:t xml:space="preserve">        EvaluationContext context</w:t>
        <w:br/>
        <w:t xml:space="preserve">    );</w:t>
        <w:br/>
        <w:t>}</w:t>
        <w:br/>
        <w:br/>
        <w:t>public interface CompiledNode {</w:t>
        <w:br/>
        <w:t xml:space="preserve">    NodeResult evaluate(EvaluationContext context);</w:t>
        <w:br/>
        <w:t>}</w:t>
      </w:r>
    </w:p>
    <w:p>
      <w:pPr>
        <w:pStyle w:val="Heading1"/>
      </w:pPr>
      <w:r>
        <w:t>20. Acceptance Criteria</w:t>
      </w:r>
    </w:p>
    <w:p>
      <w:pPr>
        <w:pStyle w:val="ListBullet"/>
      </w:pPr>
      <w:r>
        <w:t>Same compiled rule and immutable context always produce the same result.</w:t>
      </w:r>
    </w:p>
    <w:p>
      <w:pPr>
        <w:pStyle w:val="ListBullet"/>
      </w:pPr>
      <w:r>
        <w:t>No I/O or state mutation occurs in rule evaluation.</w:t>
      </w:r>
    </w:p>
    <w:p>
      <w:pPr>
        <w:pStyle w:val="ListBullet"/>
      </w:pPr>
      <w:r>
        <w:t>Operands are compiler-resolved typed accessors.</w:t>
      </w:r>
    </w:p>
    <w:p>
      <w:pPr>
        <w:pStyle w:val="ListBullet"/>
      </w:pPr>
      <w:r>
        <w:t>UNKNOWN is distinct from FALSE and ERROR.</w:t>
      </w:r>
    </w:p>
    <w:p>
      <w:pPr>
        <w:pStyle w:val="ListBullet"/>
      </w:pPr>
      <w:r>
        <w:t>Independent EvaluationKeys can evaluate concurrently.</w:t>
      </w:r>
    </w:p>
    <w:p>
      <w:pPr>
        <w:pStyle w:val="ListBullet"/>
      </w:pPr>
      <w:r>
        <w:t>Same-key concurrency is prevented by the mailbox/workflow architecture.</w:t>
      </w:r>
    </w:p>
    <w:p>
      <w:pPr>
        <w:pStyle w:val="ListBullet"/>
      </w:pPr>
      <w:r>
        <w:t>Tick-sensitive strategies preserve required intermediate information.</w:t>
      </w:r>
    </w:p>
    <w:p>
      <w:pPr>
        <w:pStyle w:val="ListBullet"/>
      </w:pPr>
      <w:r>
        <w:t>History is bounded and supplied by runtime.</w:t>
      </w:r>
    </w:p>
    <w:p>
      <w:pPr>
        <w:pStyle w:val="ListBullet"/>
      </w:pPr>
      <w:r>
        <w:t>Rule traces support debugging, simulation and controlled on-demand explanation.</w:t>
      </w:r>
    </w:p>
    <w:p>
      <w:pPr>
        <w:pStyle w:val="ListBullet"/>
      </w:pPr>
      <w:r>
        <w:t>Rules cannot execute arbitrary code or call broker APIs.</w:t>
      </w:r>
    </w:p>
    <w:p>
      <w:pPr>
        <w:pStyle w:val="Heading1"/>
      </w:pPr>
      <w:r>
        <w:t>21.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Role</w:t>
            </w:r>
          </w:p>
        </w:tc>
      </w:tr>
      <w:tr>
        <w:tc>
          <w:tcPr>
            <w:tcW w:type="dxa" w:w="5040"/>
          </w:tcPr>
          <w:p>
            <w:r>
              <w:t>07.3 Strategy DSL</w:t>
            </w:r>
          </w:p>
        </w:tc>
        <w:tc>
          <w:tcPr>
            <w:tcW w:type="dxa" w:w="5040"/>
          </w:tcPr>
          <w:p>
            <w:r>
              <w:t>Rule grammar and semantics</w:t>
            </w:r>
          </w:p>
        </w:tc>
      </w:tr>
      <w:tr>
        <w:tc>
          <w:tcPr>
            <w:tcW w:type="dxa" w:w="5040"/>
          </w:tcPr>
          <w:p>
            <w:r>
              <w:t>07.4 Strategy Compiler</w:t>
            </w:r>
          </w:p>
        </w:tc>
        <w:tc>
          <w:tcPr>
            <w:tcW w:type="dxa" w:w="5040"/>
          </w:tcPr>
          <w:p>
            <w:r>
              <w:t>CompiledRule and typed nodes</w:t>
            </w:r>
          </w:p>
        </w:tc>
      </w:tr>
      <w:tr>
        <w:tc>
          <w:tcPr>
            <w:tcW w:type="dxa" w:w="5040"/>
          </w:tcPr>
          <w:p>
            <w:r>
              <w:t>07.5 Workflow Engine</w:t>
            </w:r>
          </w:p>
        </w:tc>
        <w:tc>
          <w:tcPr>
            <w:tcW w:type="dxa" w:w="5040"/>
          </w:tcPr>
          <w:p>
            <w:r>
              <w:t>Ordering, invocation, transitions and side effects</w:t>
            </w:r>
          </w:p>
        </w:tc>
      </w:tr>
      <w:tr>
        <w:tc>
          <w:tcPr>
            <w:tcW w:type="dxa" w:w="5040"/>
          </w:tcPr>
          <w:p>
            <w:r>
              <w:t>State Manager</w:t>
            </w:r>
          </w:p>
        </w:tc>
        <w:tc>
          <w:tcPr>
            <w:tcW w:type="dxa" w:w="5040"/>
          </w:tcPr>
          <w:p>
            <w:r>
              <w:t>Immutable state snapshots</w:t>
            </w:r>
          </w:p>
        </w:tc>
      </w:tr>
      <w:tr>
        <w:tc>
          <w:tcPr>
            <w:tcW w:type="dxa" w:w="5040"/>
          </w:tcPr>
          <w:p>
            <w:r>
              <w:t>Market Observation architecture</w:t>
            </w:r>
          </w:p>
        </w:tc>
        <w:tc>
          <w:tcPr>
            <w:tcW w:type="dxa" w:w="5040"/>
          </w:tcPr>
          <w:p>
            <w:r>
              <w:t>Normalized observations and bounded history</w:t>
            </w:r>
          </w:p>
        </w:tc>
      </w:tr>
      <w:tr>
        <w:tc>
          <w:tcPr>
            <w:tcW w:type="dxa" w:w="5040"/>
          </w:tcPr>
          <w:p>
            <w:r>
              <w:t>Simulation/Replay</w:t>
            </w:r>
          </w:p>
        </w:tc>
        <w:tc>
          <w:tcPr>
            <w:tcW w:type="dxa" w:w="5040"/>
          </w:tcPr>
          <w:p>
            <w:r>
              <w:t>Uses the same Rule Engine semantics</w:t>
            </w:r>
          </w:p>
        </w:tc>
      </w:tr>
    </w:tbl>
    <w:p>
      <w:pPr>
        <w:pStyle w:val="Heading1"/>
      </w:pPr>
      <w:r>
        <w:t>Conclusion</w:t>
      </w:r>
    </w:p>
    <w:p>
      <w:r>
        <w:t>The Rule Engine remains deliberately small, deterministic and side-effect free. The Execution Mailbox / Partition Manager handles same-key concurrency outside the engine, while immutable compiled rules allow safe parallel evaluation across unrelated strategy executions. This design preserves correctness under millisecond tick bursts, supports replay and simulation, and provides a trace boundary for manual debugging and strictly on-demand AI trade explanations.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