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07.7 – Indicator Engine</w:t>
      </w:r>
    </w:p>
    <w:p>
      <w:pPr>
        <w:jc w:val="center"/>
      </w:pPr>
      <w:r>
        <w:rPr>
          <w:b/>
        </w:rPr>
        <w:t>Profit-Bees Strategy Platform | Version 1.0 – Review Draft</w:t>
      </w:r>
    </w:p>
    <w:p>
      <w:r>
        <w:t>Purpose: Define the Indicator Engine that derives reusable technical and statistical values from normalized market observations and bounded historical state for consumption by compiled strategies.</w:t>
      </w:r>
    </w:p>
    <w:p>
      <w:r>
        <w:t>Architecture alignment: 07.4 Strategy Compiler, 07.5 Workflow Engine and 07.6 Rule Engine. The Indicator Engine follows the latest Execution Mailbox / Partition Manager decision so stateful indicator updates are ordered per relevant EvaluationKey while unrelated executions can proceed concurrently.</w:t>
      </w:r>
    </w:p>
    <w:p>
      <w:pPr>
        <w:pStyle w:val="Heading1"/>
      </w:pPr>
      <w:r>
        <w:t>1. Scope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 Scope</w:t>
            </w:r>
          </w:p>
        </w:tc>
        <w:tc>
          <w:tcPr>
            <w:tcW w:type="dxa" w:w="5040"/>
          </w:tcPr>
          <w:p>
            <w:r>
              <w:t>Out of Scope</w:t>
            </w:r>
          </w:p>
        </w:tc>
      </w:tr>
      <w:tr>
        <w:tc>
          <w:tcPr>
            <w:tcW w:type="dxa" w:w="5040"/>
          </w:tcPr>
          <w:p>
            <w:r>
              <w:t>Incremental calculation of configured indicators</w:t>
            </w:r>
          </w:p>
        </w:tc>
        <w:tc>
          <w:tcPr>
            <w:tcW w:type="dxa" w:w="5040"/>
          </w:tcPr>
          <w:p>
            <w:r>
              <w:t>Broker WebSocket ingestion</w:t>
            </w:r>
          </w:p>
        </w:tc>
      </w:tr>
      <w:tr>
        <w:tc>
          <w:tcPr>
            <w:tcW w:type="dxa" w:w="5040"/>
          </w:tcPr>
          <w:p>
            <w:r>
              <w:t>Indicator state and bounded rolling windows</w:t>
            </w:r>
          </w:p>
        </w:tc>
        <w:tc>
          <w:tcPr>
            <w:tcW w:type="dxa" w:w="5040"/>
          </w:tcPr>
          <w:p>
            <w:r>
              <w:t>Mailbox ownership and scheduling</w:t>
            </w:r>
          </w:p>
        </w:tc>
      </w:tr>
      <w:tr>
        <w:tc>
          <w:tcPr>
            <w:tcW w:type="dxa" w:w="5040"/>
          </w:tcPr>
          <w:p>
            <w:r>
              <w:t>Reusable indicator snapshots for rules</w:t>
            </w:r>
          </w:p>
        </w:tc>
        <w:tc>
          <w:tcPr>
            <w:tcW w:type="dxa" w:w="5040"/>
          </w:tcPr>
          <w:p>
            <w:r>
              <w:t>Workflow state transitions</w:t>
            </w:r>
          </w:p>
        </w:tc>
      </w:tr>
      <w:tr>
        <w:tc>
          <w:tcPr>
            <w:tcW w:type="dxa" w:w="5040"/>
          </w:tcPr>
          <w:p>
            <w:r>
              <w:t>Warm-up/readiness management</w:t>
            </w:r>
          </w:p>
        </w:tc>
        <w:tc>
          <w:tcPr>
            <w:tcW w:type="dxa" w:w="5040"/>
          </w:tcPr>
          <w:p>
            <w:r>
              <w:t>Direct broker order placement</w:t>
            </w:r>
          </w:p>
        </w:tc>
      </w:tr>
      <w:tr>
        <w:tc>
          <w:tcPr>
            <w:tcW w:type="dxa" w:w="5040"/>
          </w:tcPr>
          <w:p>
            <w:r>
              <w:t>Deterministic simulation/replay calculation</w:t>
            </w:r>
          </w:p>
        </w:tc>
        <w:tc>
          <w:tcPr>
            <w:tcW w:type="dxa" w:w="5040"/>
          </w:tcPr>
          <w:p>
            <w:r>
              <w:t>Unbounded historical analytics</w:t>
            </w:r>
          </w:p>
        </w:tc>
      </w:tr>
      <w:tr>
        <w:tc>
          <w:tcPr>
            <w:tcW w:type="dxa" w:w="5040"/>
          </w:tcPr>
          <w:p>
            <w:r>
              <w:t>Indicator diagnostics and provenance</w:t>
            </w:r>
          </w:p>
        </w:tc>
        <w:tc>
          <w:tcPr>
            <w:tcW w:type="dxa" w:w="5040"/>
          </w:tcPr>
          <w:p>
            <w:r>
              <w:t>AI explanation generation itself</w:t>
            </w:r>
          </w:p>
        </w:tc>
      </w:tr>
    </w:tbl>
    <w:p>
      <w:pPr>
        <w:pStyle w:val="Heading1"/>
      </w:pPr>
      <w:r>
        <w:t>2. Architectural Role</w:t>
      </w:r>
    </w:p>
    <w:p>
      <w:r>
        <w:rPr>
          <w:rFonts w:ascii="Consolas" w:hAnsi="Consolas"/>
          <w:sz w:val="16"/>
        </w:rPr>
        <w:t>NormalizedMarketObservation</w:t>
        <w:br/>
        <w:t xml:space="preserve">          │</w:t>
        <w:br/>
        <w:t xml:space="preserve">          ▼</w:t>
        <w:br/>
        <w:t>Execution Mailbox / Partition Manager</w:t>
        <w:br/>
        <w:t xml:space="preserve">          │</w:t>
        <w:br/>
        <w:t xml:space="preserve">          ▼</w:t>
        <w:br/>
        <w:t>Workflow Engine</w:t>
        <w:br/>
        <w:t xml:space="preserve">          │</w:t>
        <w:br/>
        <w:t xml:space="preserve">          ├── update indicator state</w:t>
        <w:br/>
        <w:t xml:space="preserve">          ▼</w:t>
        <w:br/>
        <w:t xml:space="preserve">     INDICATOR ENGINE</w:t>
        <w:br/>
        <w:t xml:space="preserve">          │</w:t>
        <w:br/>
        <w:t xml:space="preserve">          ├── SMA / EMA</w:t>
        <w:br/>
        <w:t xml:space="preserve">          ├── RSI</w:t>
        <w:br/>
        <w:t xml:space="preserve">          ├── rolling MIN / MAX</w:t>
        <w:br/>
        <w:t xml:space="preserve">          ├── VWAP (when volume semantics available)</w:t>
        <w:br/>
        <w:t xml:space="preserve">          └── custom approved indicators</w:t>
        <w:br/>
        <w:t xml:space="preserve">          │</w:t>
        <w:br/>
        <w:t xml:space="preserve">          ▼</w:t>
        <w:br/>
        <w:t>IndicatorSnapshot</w:t>
        <w:br/>
        <w:t xml:space="preserve">          │</w:t>
        <w:br/>
        <w:t xml:space="preserve">          ▼</w:t>
        <w:br/>
        <w:t>Rule Engine → Workflow transitions/actions</w:t>
      </w:r>
    </w:p>
    <w:p>
      <w:r>
        <w:t>The exact invocation may be optimized so only indicators required by the compiled ExecutablePlan are updated. Indicators are dependencies, not a second independent strategy-evaluation path.</w:t>
      </w:r>
    </w:p>
    <w:p>
      <w:pPr>
        <w:pStyle w:val="Heading1"/>
      </w:pPr>
      <w:r>
        <w:t>3. Core Design Principles</w:t>
      </w:r>
    </w:p>
    <w:p>
      <w:pPr>
        <w:pStyle w:val="ListBullet"/>
      </w:pPr>
      <w:r>
        <w:t>Incremental computation: do not recompute full history for every tick.</w:t>
      </w:r>
    </w:p>
    <w:p>
      <w:pPr>
        <w:pStyle w:val="ListBullet"/>
      </w:pPr>
      <w:r>
        <w:t>Deterministic semantics: the same ordered observation stream and configuration produce the same values.</w:t>
      </w:r>
    </w:p>
    <w:p>
      <w:pPr>
        <w:pStyle w:val="ListBullet"/>
      </w:pPr>
      <w:r>
        <w:t>Bounded state: rolling windows have explicit maximum sizes.</w:t>
      </w:r>
    </w:p>
    <w:p>
      <w:pPr>
        <w:pStyle w:val="ListBullet"/>
      </w:pPr>
      <w:r>
        <w:t>Explicit readiness: indicators report NOT_READY until sufficient data exists.</w:t>
      </w:r>
    </w:p>
    <w:p>
      <w:pPr>
        <w:pStyle w:val="ListBullet"/>
      </w:pPr>
      <w:r>
        <w:t>No broker or database I/O inside calculation logic.</w:t>
      </w:r>
    </w:p>
    <w:p>
      <w:pPr>
        <w:pStyle w:val="ListBullet"/>
      </w:pPr>
      <w:r>
        <w:t>Versioned definitions: indicator behavior changes require explicit semantic/version control.</w:t>
      </w:r>
    </w:p>
    <w:p>
      <w:pPr>
        <w:pStyle w:val="ListBullet"/>
      </w:pPr>
      <w:r>
        <w:t>Simulation and live execution use the same implementation.</w:t>
      </w:r>
    </w:p>
    <w:p>
      <w:pPr>
        <w:pStyle w:val="Heading1"/>
      </w:pPr>
      <w:r>
        <w:t>4. Indicator Key and Concurrency</w:t>
      </w:r>
    </w:p>
    <w:p>
      <w:r>
        <w:t>Stateful indicators must not be concurrently updated for the same underlying indicator state. The default key is:</w:t>
      </w:r>
    </w:p>
    <w:p>
      <w:r>
        <w:rPr>
          <w:rFonts w:ascii="Consolas" w:hAnsi="Consolas"/>
          <w:sz w:val="16"/>
        </w:rPr>
        <w:t>IndicatorKey = EvaluationKey + IndicatorDefinitionId</w:t>
      </w:r>
    </w:p>
    <w:p>
      <w:r>
        <w:t>EvaluationKey = StrategyExecutionId + InstrumentId. This deliberately allows two strategy executions using the same instrument to maintain independent indicator state when their windows, parameters or strategy lifecycle differ.</w:t>
      </w:r>
    </w:p>
    <w:p>
      <w:r>
        <w:t>Where future optimization safely supports shared market-level indicators, shared ownership must have its own explicit key and ordering contract; it must not silently violate execution isolation.</w:t>
      </w:r>
    </w:p>
    <w:p>
      <w:pPr>
        <w:pStyle w:val="Heading1"/>
      </w:pPr>
      <w:r>
        <w:t>5. IndicatorDefinition</w:t>
      </w:r>
    </w:p>
    <w:p>
      <w:r>
        <w:rPr>
          <w:rFonts w:ascii="Consolas" w:hAnsi="Consolas"/>
          <w:sz w:val="16"/>
        </w:rPr>
        <w:t>IndicatorDefinition {</w:t>
        <w:br/>
        <w:t xml:space="preserve">  indicatorId,</w:t>
        <w:br/>
        <w:t xml:space="preserve">  type,</w:t>
        <w:br/>
        <w:t xml:space="preserve">  version,</w:t>
        <w:br/>
        <w:t xml:space="preserve">  inputField,</w:t>
        <w:br/>
        <w:t xml:space="preserve">  parameters,</w:t>
        <w:br/>
        <w:t xml:space="preserve">  warmupRequirement,</w:t>
        <w:br/>
        <w:t xml:space="preserve">  outputNames,</w:t>
        <w:br/>
        <w:t xml:space="preserve">  missingDataPolicy</w:t>
        <w:br/>
        <w:t>}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Type</w:t>
            </w:r>
          </w:p>
        </w:tc>
        <w:tc>
          <w:tcPr>
            <w:tcW w:type="dxa" w:w="3360"/>
          </w:tcPr>
          <w:p>
            <w:r>
              <w:t>Typical Parameters</w:t>
            </w:r>
          </w:p>
        </w:tc>
        <w:tc>
          <w:tcPr>
            <w:tcW w:type="dxa" w:w="3360"/>
          </w:tcPr>
          <w:p>
            <w:r>
              <w:t>Outputs</w:t>
            </w:r>
          </w:p>
        </w:tc>
      </w:tr>
      <w:tr>
        <w:tc>
          <w:tcPr>
            <w:tcW w:type="dxa" w:w="3360"/>
          </w:tcPr>
          <w:p>
            <w:r>
              <w:t>SMA</w:t>
            </w:r>
          </w:p>
        </w:tc>
        <w:tc>
          <w:tcPr>
            <w:tcW w:type="dxa" w:w="3360"/>
          </w:tcPr>
          <w:p>
            <w:r>
              <w:t>period</w:t>
            </w:r>
          </w:p>
        </w:tc>
        <w:tc>
          <w:tcPr>
            <w:tcW w:type="dxa" w:w="3360"/>
          </w:tcPr>
          <w:p>
            <w:r>
              <w:t>value, ready</w:t>
            </w:r>
          </w:p>
        </w:tc>
      </w:tr>
      <w:tr>
        <w:tc>
          <w:tcPr>
            <w:tcW w:type="dxa" w:w="3360"/>
          </w:tcPr>
          <w:p>
            <w:r>
              <w:t>EMA</w:t>
            </w:r>
          </w:p>
        </w:tc>
        <w:tc>
          <w:tcPr>
            <w:tcW w:type="dxa" w:w="3360"/>
          </w:tcPr>
          <w:p>
            <w:r>
              <w:t>period</w:t>
            </w:r>
          </w:p>
        </w:tc>
        <w:tc>
          <w:tcPr>
            <w:tcW w:type="dxa" w:w="3360"/>
          </w:tcPr>
          <w:p>
            <w:r>
              <w:t>value, ready</w:t>
            </w:r>
          </w:p>
        </w:tc>
      </w:tr>
      <w:tr>
        <w:tc>
          <w:tcPr>
            <w:tcW w:type="dxa" w:w="3360"/>
          </w:tcPr>
          <w:p>
            <w:r>
              <w:t>RSI</w:t>
            </w:r>
          </w:p>
        </w:tc>
        <w:tc>
          <w:tcPr>
            <w:tcW w:type="dxa" w:w="3360"/>
          </w:tcPr>
          <w:p>
            <w:r>
              <w:t>period</w:t>
            </w:r>
          </w:p>
        </w:tc>
        <w:tc>
          <w:tcPr>
            <w:tcW w:type="dxa" w:w="3360"/>
          </w:tcPr>
          <w:p>
            <w:r>
              <w:t>value, ready</w:t>
            </w:r>
          </w:p>
        </w:tc>
      </w:tr>
      <w:tr>
        <w:tc>
          <w:tcPr>
            <w:tcW w:type="dxa" w:w="3360"/>
          </w:tcPr>
          <w:p>
            <w:r>
              <w:t>ROLLING_MIN</w:t>
            </w:r>
          </w:p>
        </w:tc>
        <w:tc>
          <w:tcPr>
            <w:tcW w:type="dxa" w:w="3360"/>
          </w:tcPr>
          <w:p>
            <w:r>
              <w:t>period/window</w:t>
            </w:r>
          </w:p>
        </w:tc>
        <w:tc>
          <w:tcPr>
            <w:tcW w:type="dxa" w:w="3360"/>
          </w:tcPr>
          <w:p>
            <w:r>
              <w:t>value, ready</w:t>
            </w:r>
          </w:p>
        </w:tc>
      </w:tr>
      <w:tr>
        <w:tc>
          <w:tcPr>
            <w:tcW w:type="dxa" w:w="3360"/>
          </w:tcPr>
          <w:p>
            <w:r>
              <w:t>ROLLING_MAX</w:t>
            </w:r>
          </w:p>
        </w:tc>
        <w:tc>
          <w:tcPr>
            <w:tcW w:type="dxa" w:w="3360"/>
          </w:tcPr>
          <w:p>
            <w:r>
              <w:t>period/window</w:t>
            </w:r>
          </w:p>
        </w:tc>
        <w:tc>
          <w:tcPr>
            <w:tcW w:type="dxa" w:w="3360"/>
          </w:tcPr>
          <w:p>
            <w:r>
              <w:t>value, ready</w:t>
            </w:r>
          </w:p>
        </w:tc>
      </w:tr>
      <w:tr>
        <w:tc>
          <w:tcPr>
            <w:tcW w:type="dxa" w:w="3360"/>
          </w:tcPr>
          <w:p>
            <w:r>
              <w:t>VWAP</w:t>
            </w:r>
          </w:p>
        </w:tc>
        <w:tc>
          <w:tcPr>
            <w:tcW w:type="dxa" w:w="3360"/>
          </w:tcPr>
          <w:p>
            <w:r>
              <w:t>session/window policy</w:t>
            </w:r>
          </w:p>
        </w:tc>
        <w:tc>
          <w:tcPr>
            <w:tcW w:type="dxa" w:w="3360"/>
          </w:tcPr>
          <w:p>
            <w:r>
              <w:t>value, ready</w:t>
            </w:r>
          </w:p>
        </w:tc>
      </w:tr>
      <w:tr>
        <w:tc>
          <w:tcPr>
            <w:tcW w:type="dxa" w:w="3360"/>
          </w:tcPr>
          <w:p>
            <w:r>
              <w:t>CUSTOM_APPROVED</w:t>
            </w:r>
          </w:p>
        </w:tc>
        <w:tc>
          <w:tcPr>
            <w:tcW w:type="dxa" w:w="3360"/>
          </w:tcPr>
          <w:p>
            <w:r>
              <w:t>typed schema</w:t>
            </w:r>
          </w:p>
        </w:tc>
        <w:tc>
          <w:tcPr>
            <w:tcW w:type="dxa" w:w="3360"/>
          </w:tcPr>
          <w:p>
            <w:r>
              <w:t>declared outputs</w:t>
            </w:r>
          </w:p>
        </w:tc>
      </w:tr>
    </w:tbl>
    <w:p>
      <w:r>
        <w:t>CUSTOM_APPROVED means a platform-approved, versioned implementation registered by engineering. User DSL must not upload arbitrary executable code.</w:t>
      </w:r>
    </w:p>
    <w:p>
      <w:pPr>
        <w:pStyle w:val="Heading1"/>
      </w:pPr>
      <w:r>
        <w:t>6. Plan Dependency Extraction</w:t>
      </w:r>
    </w:p>
    <w:p>
      <w:r>
        <w:t>The Strategy Compiler extracts indicator dependencies from the DSL and stores them in ExecutablePlan metadata.</w:t>
      </w:r>
    </w:p>
    <w:p>
      <w:r>
        <w:rPr>
          <w:rFonts w:ascii="Consolas" w:hAnsi="Consolas"/>
          <w:sz w:val="16"/>
        </w:rPr>
        <w:t>ExecutablePlan.requiredIndicators = [</w:t>
        <w:br/>
        <w:t xml:space="preserve">  SMA(period=20, input=ltp),</w:t>
        <w:br/>
        <w:t xml:space="preserve">  RSI(period=14, input=ltp),</w:t>
        <w:br/>
        <w:t xml:space="preserve">  ROLLING_MIN(period=15, input=ltp)</w:t>
        <w:br/>
        <w:t>]</w:t>
      </w:r>
    </w:p>
    <w:p>
      <w:r>
        <w:t>Activation validates indicator types, parameters, supported observation fields, maximum window limits and compatibility with the selected evaluation policy.</w:t>
      </w:r>
    </w:p>
    <w:p>
      <w:pPr>
        <w:pStyle w:val="Heading1"/>
      </w:pPr>
      <w:r>
        <w:t>7. Processing Model</w:t>
      </w:r>
    </w:p>
    <w:p>
      <w:r>
        <w:rPr>
          <w:rFonts w:ascii="Consolas" w:hAnsi="Consolas"/>
          <w:sz w:val="16"/>
        </w:rPr>
        <w:t>onObservation(key, observation):</w:t>
        <w:br/>
        <w:t xml:space="preserve">    plan = planProvider.get(...)</w:t>
        <w:br/>
        <w:t xml:space="preserve">    definitions = plan.requiredIndicators</w:t>
        <w:br/>
        <w:br/>
        <w:t xml:space="preserve">    for definition in definitions:</w:t>
        <w:br/>
        <w:t xml:space="preserve">        state = indicatorStateStore.get(key, definition)</w:t>
        <w:br/>
        <w:t xml:space="preserve">        state = indicator.update(state, observation)</w:t>
        <w:br/>
        <w:t xml:space="preserve">        snapshot.add(definition.output(state))</w:t>
        <w:br/>
        <w:br/>
        <w:t xml:space="preserve">    return snapshot</w:t>
      </w:r>
    </w:p>
    <w:p>
      <w:r>
        <w:t>The actual state update occurs under the same-key sequential processing boundary established by the Execution Mailbox / Partition Manager. The Rule Engine receives a stable IndicatorSnapshot for that observation.</w:t>
      </w:r>
    </w:p>
    <w:p>
      <w:pPr>
        <w:pStyle w:val="Heading1"/>
      </w:pPr>
      <w:r>
        <w:t>8. Example: SMA</w:t>
      </w:r>
    </w:p>
    <w:p>
      <w:r>
        <w:t>For period 5:</w:t>
      </w:r>
    </w:p>
    <w:p>
      <w:r>
        <w:rPr>
          <w:rFonts w:ascii="Consolas" w:hAnsi="Consolas"/>
          <w:sz w:val="16"/>
        </w:rPr>
        <w:t>Incoming LTP:</w:t>
        <w:br/>
        <w:t>100, 102, 101, 104, 103</w:t>
        <w:br/>
        <w:br/>
        <w:t>SMA(5) = (100+102+101+104+103) / 5 = 102.0</w:t>
      </w:r>
    </w:p>
    <w:p>
      <w:r>
        <w:t>A circular buffer and running sum may be used so each new value is processed in constant time rather than recalculating the entire window.</w:t>
      </w:r>
    </w:p>
    <w:p>
      <w:pPr>
        <w:pStyle w:val="Heading1"/>
      </w:pPr>
      <w:r>
        <w:t>9. Example: EMA</w:t>
      </w:r>
    </w:p>
    <w:p>
      <w:r>
        <w:t>EMA is updated incrementally from the previous EMA and current value using the configured smoothing factor. The initialization/warm-up method must be explicitly defined and versioned because different initialization choices can produce different early values.</w:t>
      </w:r>
    </w:p>
    <w:p>
      <w:r>
        <w:rPr>
          <w:rFonts w:ascii="Consolas" w:hAnsi="Consolas"/>
          <w:sz w:val="16"/>
        </w:rPr>
        <w:t>EMA(t) = α × Price(t) + (1 − α) × EMA(t−1)</w:t>
      </w:r>
    </w:p>
    <w:p>
      <w:pPr>
        <w:pStyle w:val="Heading1"/>
      </w:pPr>
      <w:r>
        <w:t>10. Example: RSI</w:t>
      </w:r>
    </w:p>
    <w:p>
      <w:r>
        <w:t>RSI maintains bounded rolling information about gains and losses according to the selected indicator definition. The implementation must explicitly define its smoothing method and warm-up behavior so live and replay calculations are identical.</w:t>
      </w:r>
    </w:p>
    <w:p>
      <w:r>
        <w:t>When average loss is zero, behavior is explicitly defined by the indicator version rather than relying on accidental divide-by-zero handling.</w:t>
      </w:r>
    </w:p>
    <w:p>
      <w:pPr>
        <w:pStyle w:val="Heading1"/>
      </w:pPr>
      <w:r>
        <w:t>11. Readiness and Warm-Up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State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NOT_READY</w:t>
            </w:r>
          </w:p>
        </w:tc>
        <w:tc>
          <w:tcPr>
            <w:tcW w:type="dxa" w:w="5040"/>
          </w:tcPr>
          <w:p>
            <w:r>
              <w:t>Insufficient accepted observations</w:t>
            </w:r>
          </w:p>
        </w:tc>
      </w:tr>
      <w:tr>
        <w:tc>
          <w:tcPr>
            <w:tcW w:type="dxa" w:w="5040"/>
          </w:tcPr>
          <w:p>
            <w:r>
              <w:t>READY</w:t>
            </w:r>
          </w:p>
        </w:tc>
        <w:tc>
          <w:tcPr>
            <w:tcW w:type="dxa" w:w="5040"/>
          </w:tcPr>
          <w:p>
            <w:r>
              <w:t>Output is valid for configured semantics</w:t>
            </w:r>
          </w:p>
        </w:tc>
      </w:tr>
      <w:tr>
        <w:tc>
          <w:tcPr>
            <w:tcW w:type="dxa" w:w="5040"/>
          </w:tcPr>
          <w:p>
            <w:r>
              <w:t>STALE</w:t>
            </w:r>
          </w:p>
        </w:tc>
        <w:tc>
          <w:tcPr>
            <w:tcW w:type="dxa" w:w="5040"/>
          </w:tcPr>
          <w:p>
            <w:r>
              <w:t>Configured freshness requirement violated</w:t>
            </w:r>
          </w:p>
        </w:tc>
      </w:tr>
      <w:tr>
        <w:tc>
          <w:tcPr>
            <w:tcW w:type="dxa" w:w="5040"/>
          </w:tcPr>
          <w:p>
            <w:r>
              <w:t>ERROR</w:t>
            </w:r>
          </w:p>
        </w:tc>
        <w:tc>
          <w:tcPr>
            <w:tcW w:type="dxa" w:w="5040"/>
          </w:tcPr>
          <w:p>
            <w:r>
              <w:t>Calculation/state corruption detected</w:t>
            </w:r>
          </w:p>
        </w:tc>
      </w:tr>
    </w:tbl>
    <w:p>
      <w:r>
        <w:t>Rules referencing an indicator must define or inherit a readiness policy. A typical default is to return UNKNOWN when a required indicator is NOT_READY, preventing accidental trades during warm-up.</w:t>
      </w:r>
    </w:p>
    <w:p>
      <w:pPr>
        <w:pStyle w:val="Heading1"/>
      </w:pPr>
      <w:r>
        <w:t>12. Tick Bursts and Coalescing</w:t>
      </w:r>
    </w:p>
    <w:p>
      <w:r>
        <w:t>Indicator semantics constrain the evaluation policy. For sequence-sensitive indicators such as EMA and RSI, dropping intermediate ticks changes the calculated value. Such indicators normally require EVERY_TICK or an explicitly defined aggregation semantics.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Policy</w:t>
            </w:r>
          </w:p>
        </w:tc>
        <w:tc>
          <w:tcPr>
            <w:tcW w:type="dxa" w:w="5040"/>
          </w:tcPr>
          <w:p>
            <w:r>
              <w:t>Indicator Compatibility</w:t>
            </w:r>
          </w:p>
        </w:tc>
      </w:tr>
      <w:tr>
        <w:tc>
          <w:tcPr>
            <w:tcW w:type="dxa" w:w="5040"/>
          </w:tcPr>
          <w:p>
            <w:r>
              <w:t>EVERY_TICK</w:t>
            </w:r>
          </w:p>
        </w:tc>
        <w:tc>
          <w:tcPr>
            <w:tcW w:type="dxa" w:w="5040"/>
          </w:tcPr>
          <w:p>
            <w:r>
              <w:t>Compatible with exact tick-based indicators</w:t>
            </w:r>
          </w:p>
        </w:tc>
      </w:tr>
      <w:tr>
        <w:tc>
          <w:tcPr>
            <w:tcW w:type="dxa" w:w="5040"/>
          </w:tcPr>
          <w:p>
            <w:r>
              <w:t>COALESCE_WINDOW</w:t>
            </w:r>
          </w:p>
        </w:tc>
        <w:tc>
          <w:tcPr>
            <w:tcW w:type="dxa" w:w="5040"/>
          </w:tcPr>
          <w:p>
            <w:r>
              <w:t>Only when the indicator explicitly defines summary semantics</w:t>
            </w:r>
          </w:p>
        </w:tc>
      </w:tr>
      <w:tr>
        <w:tc>
          <w:tcPr>
            <w:tcW w:type="dxa" w:w="5040"/>
          </w:tcPr>
          <w:p>
            <w:r>
              <w:t>LATEST_ONLY</w:t>
            </w:r>
          </w:p>
        </w:tc>
        <w:tc>
          <w:tcPr>
            <w:tcW w:type="dxa" w:w="5040"/>
          </w:tcPr>
          <w:p>
            <w:r>
              <w:t>Generally unsafe for sequence-sensitive indicators</w:t>
            </w:r>
          </w:p>
        </w:tc>
      </w:tr>
      <w:tr>
        <w:tc>
          <w:tcPr>
            <w:tcW w:type="dxa" w:w="5040"/>
          </w:tcPr>
          <w:p>
            <w:r>
              <w:t>TIME_WINDOW</w:t>
            </w:r>
          </w:p>
        </w:tc>
        <w:tc>
          <w:tcPr>
            <w:tcW w:type="dxa" w:w="5040"/>
          </w:tcPr>
          <w:p>
            <w:r>
              <w:t>Valid for indicators defined over sampled intervals</w:t>
            </w:r>
          </w:p>
        </w:tc>
      </w:tr>
    </w:tbl>
    <w:p>
      <w:r>
        <w:t>The compiler/activation validator should reject incompatible combinations, for example RSI over exact tick input with LATEST_ONLY unless a versioned sampled-input definition explicitly permits it.</w:t>
      </w:r>
    </w:p>
    <w:p>
      <w:pPr>
        <w:pStyle w:val="Heading1"/>
      </w:pPr>
      <w:r>
        <w:t>13. Indicator Snapshot</w:t>
      </w:r>
    </w:p>
    <w:p>
      <w:r>
        <w:rPr>
          <w:rFonts w:ascii="Consolas" w:hAnsi="Consolas"/>
          <w:sz w:val="16"/>
        </w:rPr>
        <w:t>IndicatorSnapshot {</w:t>
        <w:br/>
        <w:t xml:space="preserve">  evaluationKey,</w:t>
        <w:br/>
        <w:t xml:space="preserve">  observationId,</w:t>
        <w:br/>
        <w:t xml:space="preserve">  planFingerprint,</w:t>
        <w:br/>
        <w:t xml:space="preserve">  values: {</w:t>
        <w:br/>
        <w:t xml:space="preserve">    sma20: 1248.35,</w:t>
        <w:br/>
        <w:t xml:space="preserve">    rsi14: 61.20,</w:t>
        <w:br/>
        <w:t xml:space="preserve">    rollingLow15: 1241.00</w:t>
        <w:br/>
        <w:t xml:space="preserve">  },</w:t>
        <w:br/>
        <w:t xml:space="preserve">  readiness,</w:t>
        <w:br/>
        <w:t xml:space="preserve">  sourceSequence,</w:t>
        <w:br/>
        <w:t xml:space="preserve">  calculatedAt</w:t>
        <w:br/>
        <w:t>}</w:t>
      </w:r>
    </w:p>
    <w:p>
      <w:r>
        <w:t>The snapshot is immutable and belongs to one observation evaluation. It may be attached to RuleEvaluationContext and execution traces.</w:t>
      </w:r>
    </w:p>
    <w:p>
      <w:pPr>
        <w:pStyle w:val="Heading1"/>
      </w:pPr>
      <w:r>
        <w:t>14. Persistence and Recovery</w:t>
      </w:r>
    </w:p>
    <w:p>
      <w:r>
        <w:t>Indicator state is runtime state that may be checkpointed with, or in coordination with, execution state. The normalized observation store remains independently durable.</w:t>
      </w:r>
    </w:p>
    <w:p>
      <w:r>
        <w:rPr>
          <w:rFonts w:ascii="Consolas" w:hAnsi="Consolas"/>
          <w:sz w:val="16"/>
        </w:rPr>
        <w:t>Checkpoint:</w:t>
        <w:br/>
        <w:t xml:space="preserve">  ExecutionState</w:t>
        <w:br/>
        <w:t xml:space="preserve">  + IndicatorState</w:t>
        <w:br/>
        <w:t xml:space="preserve">  + lastProcessedObservationId/sequence</w:t>
        <w:br/>
        <w:br/>
        <w:t>Recovery:</w:t>
        <w:br/>
        <w:t xml:space="preserve">  Load checkpoint</w:t>
        <w:br/>
        <w:t xml:space="preserve">  → restore indicator state</w:t>
        <w:br/>
        <w:t xml:space="preserve">  → replay observations after checkpoint</w:t>
        <w:br/>
        <w:t xml:space="preserve">  → resume mailbox processing</w:t>
      </w:r>
    </w:p>
    <w:p>
      <w:r>
        <w:t>If a valid indicator checkpoint is unavailable, the engine rebuilds state by replaying the required bounded historical observations. Replay must use the same indicator version and input ordering semantics.</w:t>
      </w:r>
    </w:p>
    <w:p>
      <w:pPr>
        <w:pStyle w:val="Heading1"/>
      </w:pPr>
      <w:r>
        <w:t>15. Session and Time Boundaries</w:t>
      </w:r>
    </w:p>
    <w:p>
      <w:r>
        <w:t>Some indicators require session boundaries or time buckets. Definitions must explicitly specify reset behavior, including market session start, configured duration, calendar/day boundary or continuous rolling mode.</w:t>
      </w:r>
    </w:p>
    <w:p>
      <w:pPr>
        <w:pStyle w:val="ListBullet"/>
      </w:pPr>
      <w:r>
        <w:t>Canonical instants are used internally for ordering and duration calculations.</w:t>
      </w:r>
    </w:p>
    <w:p>
      <w:pPr>
        <w:pStyle w:val="ListBullet"/>
      </w:pPr>
      <w:r>
        <w:t>IST is used consistently for business-facing market-session interpretation, display and audit requirements where required by Profit-Bees.</w:t>
      </w:r>
    </w:p>
    <w:p>
      <w:pPr>
        <w:pStyle w:val="ListBullet"/>
      </w:pPr>
      <w:r>
        <w:t>Session resets must be reproducible during simulation and replay.</w:t>
      </w:r>
    </w:p>
    <w:p>
      <w:pPr>
        <w:pStyle w:val="Heading1"/>
      </w:pPr>
      <w:r>
        <w:t>16. Precision</w:t>
      </w:r>
    </w:p>
    <w:p>
      <w:r>
        <w:t>Prices and derived values should use deterministic decimal handling appropriate to the instrument and configured precision. Avoid binary floating-point as the canonical persistence or comparison representation where exact decimal thresholds matter.</w:t>
      </w:r>
    </w:p>
    <w:p>
      <w:pPr>
        <w:pStyle w:val="ListBullet"/>
      </w:pPr>
      <w:r>
        <w:t>Normalize scale/rounding rules by indicator definition.</w:t>
      </w:r>
    </w:p>
    <w:p>
      <w:pPr>
        <w:pStyle w:val="ListBullet"/>
      </w:pPr>
      <w:r>
        <w:t>Use the same rounding semantics in live, simulation and replay.</w:t>
      </w:r>
    </w:p>
    <w:p>
      <w:pPr>
        <w:pStyle w:val="ListBullet"/>
      </w:pPr>
      <w:r>
        <w:t>Rule comparisons should consume the canonical calculated value, not a separately formatted display value.</w:t>
      </w:r>
    </w:p>
    <w:p>
      <w:pPr>
        <w:pStyle w:val="Heading1"/>
      </w:pPr>
      <w:r>
        <w:t>17. Rule Engine Integration</w:t>
      </w:r>
    </w:p>
    <w:p>
      <w:r>
        <w:rPr>
          <w:rFonts w:ascii="Consolas" w:hAnsi="Consolas"/>
          <w:sz w:val="16"/>
        </w:rPr>
        <w:t>Observation</w:t>
        <w:br/>
        <w:t xml:space="preserve">   │</w:t>
        <w:br/>
        <w:t xml:space="preserve">   ▼</w:t>
        <w:br/>
        <w:t>Indicator Engine</w:t>
        <w:br/>
        <w:t xml:space="preserve">   │</w:t>
        <w:br/>
        <w:t xml:space="preserve">   ▼</w:t>
        <w:br/>
        <w:t>Immutable IndicatorSnapshot</w:t>
        <w:br/>
        <w:t xml:space="preserve">   │</w:t>
        <w:br/>
        <w:t xml:space="preserve">   ▼</w:t>
        <w:br/>
        <w:t>EvaluationContext</w:t>
        <w:br/>
        <w:t xml:space="preserve">   ├── observation</w:t>
        <w:br/>
        <w:t xml:space="preserve">   ├── executionStateSnapshot</w:t>
        <w:br/>
        <w:t xml:space="preserve">   ├── parameters</w:t>
        <w:br/>
        <w:t xml:space="preserve">   ├── boundedHistory</w:t>
        <w:br/>
        <w:t xml:space="preserve">   └── indicatorSnapshot</w:t>
        <w:br/>
        <w:t xml:space="preserve">          │</w:t>
        <w:br/>
        <w:t xml:space="preserve">          ▼</w:t>
        <w:br/>
        <w:t xml:space="preserve">      Rule Engine</w:t>
      </w:r>
    </w:p>
    <w:p>
      <w:r>
        <w:t>The Rule Engine remains stateless and does not calculate indicators itself. It consumes values through compiler-resolved typed indicator accessors.</w:t>
      </w:r>
    </w:p>
    <w:p>
      <w:pPr>
        <w:pStyle w:val="Heading1"/>
      </w:pPr>
      <w:r>
        <w:t>18. Observability and Debugging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Metric/Signal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indicator_update_duration</w:t>
            </w:r>
          </w:p>
        </w:tc>
        <w:tc>
          <w:tcPr>
            <w:tcW w:type="dxa" w:w="5040"/>
          </w:tcPr>
          <w:p>
            <w:r>
              <w:t>Calculation latency</w:t>
            </w:r>
          </w:p>
        </w:tc>
      </w:tr>
      <w:tr>
        <w:tc>
          <w:tcPr>
            <w:tcW w:type="dxa" w:w="5040"/>
          </w:tcPr>
          <w:p>
            <w:r>
              <w:t>indicator_not_ready_total</w:t>
            </w:r>
          </w:p>
        </w:tc>
        <w:tc>
          <w:tcPr>
            <w:tcW w:type="dxa" w:w="5040"/>
          </w:tcPr>
          <w:p>
            <w:r>
              <w:t>Warm-up visibility</w:t>
            </w:r>
          </w:p>
        </w:tc>
      </w:tr>
      <w:tr>
        <w:tc>
          <w:tcPr>
            <w:tcW w:type="dxa" w:w="5040"/>
          </w:tcPr>
          <w:p>
            <w:r>
              <w:t>indicator_error_total</w:t>
            </w:r>
          </w:p>
        </w:tc>
        <w:tc>
          <w:tcPr>
            <w:tcW w:type="dxa" w:w="5040"/>
          </w:tcPr>
          <w:p>
            <w:r>
              <w:t>Calculation failures</w:t>
            </w:r>
          </w:p>
        </w:tc>
      </w:tr>
      <w:tr>
        <w:tc>
          <w:tcPr>
            <w:tcW w:type="dxa" w:w="5040"/>
          </w:tcPr>
          <w:p>
            <w:r>
              <w:t>indicator_state_size</w:t>
            </w:r>
          </w:p>
        </w:tc>
        <w:tc>
          <w:tcPr>
            <w:tcW w:type="dxa" w:w="5040"/>
          </w:tcPr>
          <w:p>
            <w:r>
              <w:t>Memory/bounded-window monitoring</w:t>
            </w:r>
          </w:p>
        </w:tc>
      </w:tr>
      <w:tr>
        <w:tc>
          <w:tcPr>
            <w:tcW w:type="dxa" w:w="5040"/>
          </w:tcPr>
          <w:p>
            <w:r>
              <w:t>indicator_rebuild_total</w:t>
            </w:r>
          </w:p>
        </w:tc>
        <w:tc>
          <w:tcPr>
            <w:tcW w:type="dxa" w:w="5040"/>
          </w:tcPr>
          <w:p>
            <w:r>
              <w:t>Recovery/replay activity</w:t>
            </w:r>
          </w:p>
        </w:tc>
      </w:tr>
      <w:tr>
        <w:tc>
          <w:tcPr>
            <w:tcW w:type="dxa" w:w="5040"/>
          </w:tcPr>
          <w:p>
            <w:r>
              <w:t>indicator_value_trace</w:t>
            </w:r>
          </w:p>
        </w:tc>
        <w:tc>
          <w:tcPr>
            <w:tcW w:type="dxa" w:w="5040"/>
          </w:tcPr>
          <w:p>
            <w:r>
              <w:t>Controlled debugging/simulation evidence</w:t>
            </w:r>
          </w:p>
        </w:tc>
      </w:tr>
    </w:tbl>
    <w:p>
      <w:r>
        <w:t>Manual debugging should allow inspection by strategy execution, instrument, observation ID, indicator definition/version, readiness state and calculated value. High-volume value traces should be sampled or on-demand to control storage and cost.</w:t>
      </w:r>
    </w:p>
    <w:p>
      <w:pPr>
        <w:pStyle w:val="Heading1"/>
      </w:pPr>
      <w:r>
        <w:t>19. AI Explanation Boundary</w:t>
      </w:r>
    </w:p>
    <w:p>
      <w:r>
        <w:t>AI explanations remain strictly on demand. The Indicator Engine does not call an AI service. A user-requested trade explanation may consume an approved explanation payload containing relevant indicator values, readiness, rule outcomes and execution trace. AI provider selection and user cost pass-through remain configurable outside the synchronous evaluation path.</w:t>
      </w:r>
    </w:p>
    <w:p>
      <w:pPr>
        <w:pStyle w:val="Heading1"/>
      </w:pPr>
      <w:r>
        <w:t>20. Failure Handling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Failure</w:t>
            </w:r>
          </w:p>
        </w:tc>
        <w:tc>
          <w:tcPr>
            <w:tcW w:type="dxa" w:w="5040"/>
          </w:tcPr>
          <w:p>
            <w:r>
              <w:t>Handling</w:t>
            </w:r>
          </w:p>
        </w:tc>
      </w:tr>
      <w:tr>
        <w:tc>
          <w:tcPr>
            <w:tcW w:type="dxa" w:w="5040"/>
          </w:tcPr>
          <w:p>
            <w:r>
              <w:t>Invalid indicator parameters</w:t>
            </w:r>
          </w:p>
        </w:tc>
        <w:tc>
          <w:tcPr>
            <w:tcW w:type="dxa" w:w="5040"/>
          </w:tcPr>
          <w:p>
            <w:r>
              <w:t>Reject compilation/activation</w:t>
            </w:r>
          </w:p>
        </w:tc>
      </w:tr>
      <w:tr>
        <w:tc>
          <w:tcPr>
            <w:tcW w:type="dxa" w:w="5040"/>
          </w:tcPr>
          <w:p>
            <w:r>
              <w:t>Missing required input</w:t>
            </w:r>
          </w:p>
        </w:tc>
        <w:tc>
          <w:tcPr>
            <w:tcW w:type="dxa" w:w="5040"/>
          </w:tcPr>
          <w:p>
            <w:r>
              <w:t>NOT_READY or ERROR according to definition</w:t>
            </w:r>
          </w:p>
        </w:tc>
      </w:tr>
      <w:tr>
        <w:tc>
          <w:tcPr>
            <w:tcW w:type="dxa" w:w="5040"/>
          </w:tcPr>
          <w:p>
            <w:r>
              <w:t>Out-of-order observation</w:t>
            </w:r>
          </w:p>
        </w:tc>
        <w:tc>
          <w:tcPr>
            <w:tcW w:type="dxa" w:w="5040"/>
          </w:tcPr>
          <w:p>
            <w:r>
              <w:t>Apply observation ordering contract; do not silently corrupt state</w:t>
            </w:r>
          </w:p>
        </w:tc>
      </w:tr>
      <w:tr>
        <w:tc>
          <w:tcPr>
            <w:tcW w:type="dxa" w:w="5040"/>
          </w:tcPr>
          <w:p>
            <w:r>
              <w:t>State checkpoint failure</w:t>
            </w:r>
          </w:p>
        </w:tc>
        <w:tc>
          <w:tcPr>
            <w:tcW w:type="dxa" w:w="5040"/>
          </w:tcPr>
          <w:p>
            <w:r>
              <w:t>Do not advance durable processing checkpoint</w:t>
            </w:r>
          </w:p>
        </w:tc>
      </w:tr>
      <w:tr>
        <w:tc>
          <w:tcPr>
            <w:tcW w:type="dxa" w:w="5040"/>
          </w:tcPr>
          <w:p>
            <w:r>
              <w:t>Indicator calculation exception</w:t>
            </w:r>
          </w:p>
        </w:tc>
        <w:tc>
          <w:tcPr>
            <w:tcW w:type="dxa" w:w="5040"/>
          </w:tcPr>
          <w:p>
            <w:r>
              <w:t>Mark ERROR, isolate execution according to workflow safety policy</w:t>
            </w:r>
          </w:p>
        </w:tc>
      </w:tr>
      <w:tr>
        <w:tc>
          <w:tcPr>
            <w:tcW w:type="dxa" w:w="5040"/>
          </w:tcPr>
          <w:p>
            <w:r>
              <w:t>Version mismatch during recovery</w:t>
            </w:r>
          </w:p>
        </w:tc>
        <w:tc>
          <w:tcPr>
            <w:tcW w:type="dxa" w:w="5040"/>
          </w:tcPr>
          <w:p>
            <w:r>
              <w:t>Use compatible historical implementation or fail recovery safely</w:t>
            </w:r>
          </w:p>
        </w:tc>
      </w:tr>
    </w:tbl>
    <w:p>
      <w:pPr>
        <w:pStyle w:val="Heading1"/>
      </w:pPr>
      <w:r>
        <w:t>21. Testing Strategy</w:t>
      </w:r>
    </w:p>
    <w:p>
      <w:pPr>
        <w:pStyle w:val="ListBullet"/>
      </w:pPr>
      <w:r>
        <w:t>Unit tests for SMA, EMA, RSI, rolling min/max and configured custom indicators.</w:t>
      </w:r>
    </w:p>
    <w:p>
      <w:pPr>
        <w:pStyle w:val="ListBullet"/>
      </w:pPr>
      <w:r>
        <w:t>Golden-stream tests with known observation sequences and expected values.</w:t>
      </w:r>
    </w:p>
    <w:p>
      <w:pPr>
        <w:pStyle w:val="ListBullet"/>
      </w:pPr>
      <w:r>
        <w:t>Warm-up tests verifying NOT_READY to READY transition.</w:t>
      </w:r>
    </w:p>
    <w:p>
      <w:pPr>
        <w:pStyle w:val="ListBullet"/>
      </w:pPr>
      <w:r>
        <w:t>Buy-low strategy tests using rolling low as a rule input.</w:t>
      </w:r>
    </w:p>
    <w:p>
      <w:pPr>
        <w:pStyle w:val="ListBullet"/>
      </w:pPr>
      <w:r>
        <w:t>Burst tests verifying 1250 → 1245 → 1252 preserves correct sequence-sensitive results.</w:t>
      </w:r>
    </w:p>
    <w:p>
      <w:pPr>
        <w:pStyle w:val="ListBullet"/>
      </w:pPr>
      <w:r>
        <w:t>Coalescing compatibility tests reject unsafe policy/indicator combinations.</w:t>
      </w:r>
    </w:p>
    <w:p>
      <w:pPr>
        <w:pStyle w:val="ListBullet"/>
      </w:pPr>
      <w:r>
        <w:t>Checkpoint and recovery tests produce the same values after replay.</w:t>
      </w:r>
    </w:p>
    <w:p>
      <w:pPr>
        <w:pStyle w:val="ListBullet"/>
      </w:pPr>
      <w:r>
        <w:t>Live-vs-simulation parity tests use the same indicator implementation.</w:t>
      </w:r>
    </w:p>
    <w:p>
      <w:pPr>
        <w:pStyle w:val="ListBullet"/>
      </w:pPr>
      <w:r>
        <w:t>Precision and rounding boundary tests.</w:t>
      </w:r>
    </w:p>
    <w:p>
      <w:pPr>
        <w:pStyle w:val="ListBullet"/>
      </w:pPr>
      <w:r>
        <w:t>Concurrent independent-key tests verify thread safety while same-key updates remain serialized.</w:t>
      </w:r>
    </w:p>
    <w:p>
      <w:pPr>
        <w:pStyle w:val="Heading1"/>
      </w:pPr>
      <w:r>
        <w:t>22. Suggested Java Package Structure</w:t>
      </w:r>
    </w:p>
    <w:p>
      <w:r>
        <w:rPr>
          <w:rFonts w:ascii="Consolas" w:hAnsi="Consolas"/>
          <w:sz w:val="16"/>
        </w:rPr>
        <w:t>strategy-runtime/</w:t>
        <w:br/>
        <w:t xml:space="preserve">  indicator/</w:t>
        <w:br/>
        <w:t xml:space="preserve">    IndicatorEngine.java</w:t>
        <w:br/>
        <w:t xml:space="preserve">    IndicatorDefinition.java</w:t>
        <w:br/>
        <w:t xml:space="preserve">    IndicatorState.java</w:t>
        <w:br/>
        <w:t xml:space="preserve">    IndicatorSnapshot.java</w:t>
        <w:br/>
        <w:t xml:space="preserve">    IndicatorResult.java</w:t>
        <w:br/>
        <w:t xml:space="preserve">    readiness/</w:t>
        <w:br/>
        <w:t xml:space="preserve">    implementations/</w:t>
        <w:br/>
        <w:t xml:space="preserve">      SmaIndicator.java</w:t>
        <w:br/>
        <w:t xml:space="preserve">      EmaIndicator.java</w:t>
        <w:br/>
        <w:t xml:space="preserve">      RsiIndicator.java</w:t>
        <w:br/>
        <w:t xml:space="preserve">      RollingMinIndicator.java</w:t>
        <w:br/>
        <w:t xml:space="preserve">      RollingMaxIndicator.java</w:t>
        <w:br/>
        <w:t xml:space="preserve">      VwapIndicator.java</w:t>
        <w:br/>
        <w:t xml:space="preserve">    registry/</w:t>
        <w:br/>
        <w:t xml:space="preserve">    checkpoint/</w:t>
      </w:r>
    </w:p>
    <w:p>
      <w:pPr>
        <w:pStyle w:val="Heading1"/>
      </w:pPr>
      <w:r>
        <w:t>23. Recommended Interfaces</w:t>
      </w:r>
    </w:p>
    <w:p>
      <w:r>
        <w:rPr>
          <w:rFonts w:ascii="Consolas" w:hAnsi="Consolas"/>
          <w:sz w:val="16"/>
        </w:rPr>
        <w:t>public interface IndicatorEngine {</w:t>
        <w:br/>
        <w:t xml:space="preserve">    IndicatorSnapshot update(</w:t>
        <w:br/>
        <w:t xml:space="preserve">        EvaluationKey key,</w:t>
        <w:br/>
        <w:t xml:space="preserve">        Collection&lt;CompiledIndicator&gt; indicators,</w:t>
        <w:br/>
        <w:t xml:space="preserve">        NormalizedMarketObservation observation,</w:t>
        <w:br/>
        <w:t xml:space="preserve">        IndicatorStateSnapshot state</w:t>
        <w:br/>
        <w:t xml:space="preserve">    );</w:t>
        <w:br/>
        <w:t>}</w:t>
        <w:br/>
        <w:br/>
        <w:t>public interface Indicator {</w:t>
        <w:br/>
        <w:t xml:space="preserve">    IndicatorResult update(</w:t>
        <w:br/>
        <w:t xml:space="preserve">        IndicatorState currentState,</w:t>
        <w:br/>
        <w:t xml:space="preserve">        NormalizedMarketObservation observation</w:t>
        <w:br/>
        <w:t xml:space="preserve">    );</w:t>
        <w:br/>
        <w:t>}</w:t>
      </w:r>
    </w:p>
    <w:p>
      <w:pPr>
        <w:pStyle w:val="Heading1"/>
      </w:pPr>
      <w:r>
        <w:t>24. Acceptance Criteria</w:t>
      </w:r>
    </w:p>
    <w:p>
      <w:pPr>
        <w:pStyle w:val="ListBullet"/>
      </w:pPr>
      <w:r>
        <w:t>Only indicators required by the active ExecutablePlan are evaluated.</w:t>
      </w:r>
    </w:p>
    <w:p>
      <w:pPr>
        <w:pStyle w:val="ListBullet"/>
      </w:pPr>
      <w:r>
        <w:t>Stateful indicator updates are ordered for the relevant EvaluationKey.</w:t>
      </w:r>
    </w:p>
    <w:p>
      <w:pPr>
        <w:pStyle w:val="ListBullet"/>
      </w:pPr>
      <w:r>
        <w:t>Independent EvaluationKeys can calculate concurrently.</w:t>
      </w:r>
    </w:p>
    <w:p>
      <w:pPr>
        <w:pStyle w:val="ListBullet"/>
      </w:pPr>
      <w:r>
        <w:t>Indicator readiness is explicit and available to rules.</w:t>
      </w:r>
    </w:p>
    <w:p>
      <w:pPr>
        <w:pStyle w:val="ListBullet"/>
      </w:pPr>
      <w:r>
        <w:t>Sequence-sensitive indicators are protected from incompatible tick coalescing.</w:t>
      </w:r>
    </w:p>
    <w:p>
      <w:pPr>
        <w:pStyle w:val="ListBullet"/>
      </w:pPr>
      <w:r>
        <w:t>All rolling state and history are bounded.</w:t>
      </w:r>
    </w:p>
    <w:p>
      <w:pPr>
        <w:pStyle w:val="ListBullet"/>
      </w:pPr>
      <w:r>
        <w:t>Live, simulation and replay use the same versioned indicator semantics.</w:t>
      </w:r>
    </w:p>
    <w:p>
      <w:pPr>
        <w:pStyle w:val="ListBullet"/>
      </w:pPr>
      <w:r>
        <w:t>Indicator state can be checkpointed or deterministically rebuilt.</w:t>
      </w:r>
    </w:p>
    <w:p>
      <w:pPr>
        <w:pStyle w:val="ListBullet"/>
      </w:pPr>
      <w:r>
        <w:t>Indicator values are available to rules through immutable snapshots.</w:t>
      </w:r>
    </w:p>
    <w:p>
      <w:pPr>
        <w:pStyle w:val="ListBullet"/>
      </w:pPr>
      <w:r>
        <w:t>No indicator implementation performs broker calls or arbitrary user code execution.</w:t>
      </w:r>
    </w:p>
    <w:p>
      <w:pPr>
        <w:pStyle w:val="ListBullet"/>
      </w:pPr>
      <w:r>
        <w:t>Calculation latency, readiness, errors and recovery activity are observable.</w:t>
      </w:r>
    </w:p>
    <w:p>
      <w:pPr>
        <w:pStyle w:val="Heading1"/>
      </w:pPr>
      <w:r>
        <w:t>25. Dependencies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Dependency</w:t>
            </w:r>
          </w:p>
        </w:tc>
        <w:tc>
          <w:tcPr>
            <w:tcW w:type="dxa" w:w="5040"/>
          </w:tcPr>
          <w:p>
            <w:r>
              <w:t>Relationship</w:t>
            </w:r>
          </w:p>
        </w:tc>
      </w:tr>
      <w:tr>
        <w:tc>
          <w:tcPr>
            <w:tcW w:type="dxa" w:w="5040"/>
          </w:tcPr>
          <w:p>
            <w:r>
              <w:t>07.3 Strategy DSL</w:t>
            </w:r>
          </w:p>
        </w:tc>
        <w:tc>
          <w:tcPr>
            <w:tcW w:type="dxa" w:w="5040"/>
          </w:tcPr>
          <w:p>
            <w:r>
              <w:t>Indicator references and configuration</w:t>
            </w:r>
          </w:p>
        </w:tc>
      </w:tr>
      <w:tr>
        <w:tc>
          <w:tcPr>
            <w:tcW w:type="dxa" w:w="5040"/>
          </w:tcPr>
          <w:p>
            <w:r>
              <w:t>07.4 Strategy Compiler</w:t>
            </w:r>
          </w:p>
        </w:tc>
        <w:tc>
          <w:tcPr>
            <w:tcW w:type="dxa" w:w="5040"/>
          </w:tcPr>
          <w:p>
            <w:r>
              <w:t>Extracts required indicators into ExecutablePlan</w:t>
            </w:r>
          </w:p>
        </w:tc>
      </w:tr>
      <w:tr>
        <w:tc>
          <w:tcPr>
            <w:tcW w:type="dxa" w:w="5040"/>
          </w:tcPr>
          <w:p>
            <w:r>
              <w:t>07.5 Workflow Engine</w:t>
            </w:r>
          </w:p>
        </w:tc>
        <w:tc>
          <w:tcPr>
            <w:tcW w:type="dxa" w:w="5040"/>
          </w:tcPr>
          <w:p>
            <w:r>
              <w:t>Owns invocation and same-key execution flow</w:t>
            </w:r>
          </w:p>
        </w:tc>
      </w:tr>
      <w:tr>
        <w:tc>
          <w:tcPr>
            <w:tcW w:type="dxa" w:w="5040"/>
          </w:tcPr>
          <w:p>
            <w:r>
              <w:t>07.6 Rule Engine</w:t>
            </w:r>
          </w:p>
        </w:tc>
        <w:tc>
          <w:tcPr>
            <w:tcW w:type="dxa" w:w="5040"/>
          </w:tcPr>
          <w:p>
            <w:r>
              <w:t>Consumes immutable IndicatorSnapshot</w:t>
            </w:r>
          </w:p>
        </w:tc>
      </w:tr>
      <w:tr>
        <w:tc>
          <w:tcPr>
            <w:tcW w:type="dxa" w:w="5040"/>
          </w:tcPr>
          <w:p>
            <w:r>
              <w:t>Market Observation architecture</w:t>
            </w:r>
          </w:p>
        </w:tc>
        <w:tc>
          <w:tcPr>
            <w:tcW w:type="dxa" w:w="5040"/>
          </w:tcPr>
          <w:p>
            <w:r>
              <w:t>Provides normalized ordered observations</w:t>
            </w:r>
          </w:p>
        </w:tc>
      </w:tr>
      <w:tr>
        <w:tc>
          <w:tcPr>
            <w:tcW w:type="dxa" w:w="5040"/>
          </w:tcPr>
          <w:p>
            <w:r>
              <w:t>Simulation/Replay architecture</w:t>
            </w:r>
          </w:p>
        </w:tc>
        <w:tc>
          <w:tcPr>
            <w:tcW w:type="dxa" w:w="5040"/>
          </w:tcPr>
          <w:p>
            <w:r>
              <w:t>Reuses identical indicator calculations</w:t>
            </w:r>
          </w:p>
        </w:tc>
      </w:tr>
    </w:tbl>
    <w:p>
      <w:pPr>
        <w:pStyle w:val="Heading1"/>
      </w:pPr>
      <w:r>
        <w:t>Conclusion</w:t>
      </w:r>
    </w:p>
    <w:p>
      <w:r>
        <w:t>The Indicator Engine provides a reusable, deterministic layer between normalized market observations and rule evaluation. Its stateful calculations are protected by the Execution Mailbox / Partition Manager ordering model, while immutable snapshots allow the Rule Engine to remain pure and stateless. Explicit warm-up, coalescing compatibility, checkpoint/replay and versioning rules ensure indicator-driven strategies behave consistently under millisecond tick bursts and during simulation, debugging and recovery.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