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07.8 – Allocation and Risk Engine</w:t>
      </w:r>
    </w:p>
    <w:p>
      <w:pPr>
        <w:jc w:val="center"/>
      </w:pPr>
      <w:r>
        <w:rPr>
          <w:b/>
        </w:rPr>
        <w:t>Profit-Bees Strategy Platform | Version 1.0 – Review Draft</w:t>
      </w:r>
    </w:p>
    <w:p>
      <w:r>
        <w:t>Purpose: Define the post-strategy decision layer that receives CandidateIntent generated by the Workflow Engine and determines whether a proposed trade is permitted, what quantity may be allocated, and what risk constraints apply before the intent is recorded as an approved probable/simulated trade or passed to a future execution boundary.</w:t>
      </w:r>
    </w:p>
    <w:p>
      <w:r>
        <w:t>Architecture alignment: 07.5 Workflow Engine, 07.6 Rule Engine and 07.7 Indicator Engine. The Allocation and Risk Engine is downstream of strategy matching and does not participate in high-frequency broker tick ingestion or same-key rule evaluation.</w:t>
      </w:r>
    </w:p>
    <w:p>
      <w:pPr>
        <w:pStyle w:val="Heading1"/>
      </w:pPr>
      <w:r>
        <w:t>1. Scope</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In Scope</w:t>
            </w:r>
          </w:p>
        </w:tc>
        <w:tc>
          <w:tcPr>
            <w:tcW w:type="dxa" w:w="5040"/>
          </w:tcPr>
          <w:p>
            <w:r>
              <w:t>Out of Scope</w:t>
            </w:r>
          </w:p>
        </w:tc>
      </w:tr>
      <w:tr>
        <w:tc>
          <w:tcPr>
            <w:tcW w:type="dxa" w:w="5040"/>
          </w:tcPr>
          <w:p>
            <w:r>
              <w:t>Validate candidate intents</w:t>
            </w:r>
          </w:p>
        </w:tc>
        <w:tc>
          <w:tcPr>
            <w:tcW w:type="dxa" w:w="5040"/>
          </w:tcPr>
          <w:p>
            <w:r>
              <w:t>Broker WebSocket ingestion</w:t>
            </w:r>
          </w:p>
        </w:tc>
      </w:tr>
      <w:tr>
        <w:tc>
          <w:tcPr>
            <w:tcW w:type="dxa" w:w="5040"/>
          </w:tcPr>
          <w:p>
            <w:r>
              <w:t>Apply allocation policies</w:t>
            </w:r>
          </w:p>
        </w:tc>
        <w:tc>
          <w:tcPr>
            <w:tcW w:type="dxa" w:w="5040"/>
          </w:tcPr>
          <w:p>
            <w:r>
              <w:t>Strategy rule evaluation</w:t>
            </w:r>
          </w:p>
        </w:tc>
      </w:tr>
      <w:tr>
        <w:tc>
          <w:tcPr>
            <w:tcW w:type="dxa" w:w="5040"/>
          </w:tcPr>
          <w:p>
            <w:r>
              <w:t>Calculate permitted quantity</w:t>
            </w:r>
          </w:p>
        </w:tc>
        <w:tc>
          <w:tcPr>
            <w:tcW w:type="dxa" w:w="5040"/>
          </w:tcPr>
          <w:p>
            <w:r>
              <w:t>Indicator calculation</w:t>
            </w:r>
          </w:p>
        </w:tc>
      </w:tr>
      <w:tr>
        <w:tc>
          <w:tcPr>
            <w:tcW w:type="dxa" w:w="5040"/>
          </w:tcPr>
          <w:p>
            <w:r>
              <w:t>Apply risk constraints</w:t>
            </w:r>
          </w:p>
        </w:tc>
        <w:tc>
          <w:tcPr>
            <w:tcW w:type="dxa" w:w="5040"/>
          </w:tcPr>
          <w:p>
            <w:r>
              <w:t>Direct broker order placement</w:t>
            </w:r>
          </w:p>
        </w:tc>
      </w:tr>
      <w:tr>
        <w:tc>
          <w:tcPr>
            <w:tcW w:type="dxa" w:w="5040"/>
          </w:tcPr>
          <w:p>
            <w:r>
              <w:t>Approve, reject or resize candidates</w:t>
            </w:r>
          </w:p>
        </w:tc>
        <w:tc>
          <w:tcPr>
            <w:tcW w:type="dxa" w:w="5040"/>
          </w:tcPr>
          <w:p>
            <w:r>
              <w:t>Broker API protocol handling</w:t>
            </w:r>
          </w:p>
        </w:tc>
      </w:tr>
      <w:tr>
        <w:tc>
          <w:tcPr>
            <w:tcW w:type="dxa" w:w="5040"/>
          </w:tcPr>
          <w:p>
            <w:r>
              <w:t>Record explainable decision results</w:t>
            </w:r>
          </w:p>
        </w:tc>
        <w:tc>
          <w:tcPr>
            <w:tcW w:type="dxa" w:w="5040"/>
          </w:tcPr>
          <w:p>
            <w:r>
              <w:t>AI explanation generation itself</w:t>
            </w:r>
          </w:p>
        </w:tc>
      </w:tr>
      <w:tr>
        <w:tc>
          <w:tcPr>
            <w:tcW w:type="dxa" w:w="5040"/>
          </w:tcPr>
          <w:p>
            <w:r>
              <w:t>Support simulation and live-decision modes</w:t>
            </w:r>
          </w:p>
        </w:tc>
        <w:tc>
          <w:tcPr>
            <w:tcW w:type="dxa" w:w="5040"/>
          </w:tcPr>
          <w:p>
            <w:r>
              <w:t>Portfolio settlement/reconciliation</w:t>
            </w:r>
          </w:p>
        </w:tc>
      </w:tr>
    </w:tbl>
    <w:p>
      <w:pPr>
        <w:pStyle w:val="Heading1"/>
      </w:pPr>
      <w:r>
        <w:t>2. Architectural Position</w:t>
      </w:r>
    </w:p>
    <w:p>
      <w:r>
        <w:rPr>
          <w:rFonts w:ascii="Consolas" w:hAnsi="Consolas"/>
          <w:sz w:val="16"/>
        </w:rPr>
        <w:t>Normalized Observation</w:t>
        <w:br/>
        <w:t xml:space="preserve">       │</w:t>
        <w:br/>
        <w:t xml:space="preserve">       ▼</w:t>
        <w:br/>
        <w:t>Strategy / Workflow / Rule Engine</w:t>
        <w:br/>
        <w:t xml:space="preserve">       │</w:t>
        <w:br/>
        <w:t xml:space="preserve">       ▼</w:t>
        <w:br/>
        <w:t>CandidateIntent</w:t>
        <w:br/>
        <w:t xml:space="preserve">       │</w:t>
        <w:br/>
        <w:t xml:space="preserve">       ▼</w:t>
        <w:br/>
        <w:t>ALLOCATION &amp; RISK ENGINE</w:t>
        <w:br/>
        <w:t xml:space="preserve">       │</w:t>
        <w:br/>
        <w:t xml:space="preserve">       ├── Allocation</w:t>
        <w:br/>
        <w:t xml:space="preserve">       ├── Exposure checks</w:t>
        <w:br/>
        <w:t xml:space="preserve">       ├── Position checks</w:t>
        <w:br/>
        <w:t xml:space="preserve">       ├── Strategy limits</w:t>
        <w:br/>
        <w:t xml:space="preserve">       ├── Instrument limits</w:t>
        <w:br/>
        <w:t xml:space="preserve">       └── Decision trace</w:t>
        <w:br/>
        <w:t xml:space="preserve">       │</w:t>
        <w:br/>
        <w:t xml:space="preserve">       ▼</w:t>
        <w:br/>
        <w:t>AllocationRiskDecision</w:t>
        <w:br/>
        <w:t xml:space="preserve">       │</w:t>
        <w:br/>
        <w:t xml:space="preserve">       ├── APPROVED → Trade/Execution Boundary</w:t>
        <w:br/>
        <w:t xml:space="preserve">       ├── RESIZED  → Trade/Execution Boundary</w:t>
        <w:br/>
        <w:t xml:space="preserve">       └── REJECTED → Audit/Monitoring</w:t>
      </w:r>
    </w:p>
    <w:p>
      <w:pPr>
        <w:pStyle w:val="Heading1"/>
      </w:pPr>
      <w:r>
        <w:t>3. Core Principles</w:t>
      </w:r>
    </w:p>
    <w:p>
      <w:pPr>
        <w:pStyle w:val="ListBullet"/>
      </w:pPr>
      <w:r>
        <w:t>No strategy rule is re-evaluated here; the triggering CandidateIntent is the input.</w:t>
      </w:r>
    </w:p>
    <w:p>
      <w:pPr>
        <w:pStyle w:val="ListBullet"/>
      </w:pPr>
      <w:r>
        <w:t>Allocation and risk decisions are deterministic for a versioned policy and supplied portfolio/account snapshot.</w:t>
      </w:r>
    </w:p>
    <w:p>
      <w:pPr>
        <w:pStyle w:val="ListBullet"/>
      </w:pPr>
      <w:r>
        <w:t>Every decision is explainable through structured rule results and policy versions.</w:t>
      </w:r>
    </w:p>
    <w:p>
      <w:pPr>
        <w:pStyle w:val="ListBullet"/>
      </w:pPr>
      <w:r>
        <w:t>CandidateIntent processing is idempotent.</w:t>
      </w:r>
    </w:p>
    <w:p>
      <w:pPr>
        <w:pStyle w:val="ListBullet"/>
      </w:pPr>
      <w:r>
        <w:t>Risk defaults are fail-closed: missing mandatory limits or inconsistent critical data prevent approval.</w:t>
      </w:r>
    </w:p>
    <w:p>
      <w:pPr>
        <w:pStyle w:val="ListBullet"/>
      </w:pPr>
      <w:r>
        <w:t>Simulation and live modes use the same decision logic with different account/portfolio adapters where appropriate.</w:t>
      </w:r>
    </w:p>
    <w:p>
      <w:pPr>
        <w:pStyle w:val="ListBullet"/>
      </w:pPr>
      <w:r>
        <w:t>This engine is independent of the broker SDK and actual order placement.</w:t>
      </w:r>
    </w:p>
    <w:p>
      <w:pPr>
        <w:pStyle w:val="Heading1"/>
      </w:pPr>
      <w:r>
        <w:t>4. Candidate Intent Contract</w:t>
      </w:r>
    </w:p>
    <w:p>
      <w:r>
        <w:rPr>
          <w:rFonts w:ascii="Consolas" w:hAnsi="Consolas"/>
          <w:sz w:val="16"/>
        </w:rPr>
        <w:t>CandidateIntent {</w:t>
        <w:br/>
        <w:t xml:space="preserve">  intentId,</w:t>
        <w:br/>
        <w:t xml:space="preserve">  idempotencyKey,</w:t>
        <w:br/>
        <w:t xml:space="preserve">  strategyExecutionId,</w:t>
        <w:br/>
        <w:t xml:space="preserve">  strategyId,</w:t>
        <w:br/>
        <w:t xml:space="preserve">  strategyVersion,</w:t>
        <w:br/>
        <w:t xml:space="preserve">  planFingerprint,</w:t>
        <w:br/>
        <w:t xml:space="preserve">  instrumentId,</w:t>
        <w:br/>
        <w:t xml:space="preserve">  side,                    // BUY | SELL</w:t>
        <w:br/>
        <w:t xml:space="preserve">  triggerPrice,</w:t>
        <w:br/>
        <w:t xml:space="preserve">  triggeringObservationId,</w:t>
        <w:br/>
        <w:t xml:space="preserve">  triggeringEventTime,</w:t>
        <w:br/>
        <w:t xml:space="preserve">  transitionId,</w:t>
        <w:br/>
        <w:t xml:space="preserve">  requestedAllocationRef,</w:t>
        <w:br/>
        <w:t xml:space="preserve">  generatedAt</w:t>
        <w:br/>
        <w:t>}</w:t>
      </w:r>
    </w:p>
    <w:p>
      <w:r>
        <w:t>The candidate must identify exactly which strategy version, compiled plan and normalized observation caused the proposal. This supports audit, replay and on-demand explanation.</w:t>
      </w:r>
    </w:p>
    <w:p>
      <w:pPr>
        <w:pStyle w:val="Heading1"/>
      </w:pPr>
      <w:r>
        <w:t>5. Allocation Model</w:t>
      </w:r>
    </w:p>
    <w:p>
      <w:r>
        <w:t>Allocation configuration determines how much capital or quantity a strategy execution is allowed to use. The recommended model supports fixed quantity, fixed notional amount and capped proportional allocation.</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Allocation Type</w:t>
            </w:r>
          </w:p>
        </w:tc>
        <w:tc>
          <w:tcPr>
            <w:tcW w:type="dxa" w:w="5040"/>
          </w:tcPr>
          <w:p>
            <w:r>
              <w:t>Example</w:t>
            </w:r>
          </w:p>
        </w:tc>
      </w:tr>
      <w:tr>
        <w:tc>
          <w:tcPr>
            <w:tcW w:type="dxa" w:w="5040"/>
          </w:tcPr>
          <w:p>
            <w:r>
              <w:t>FIXED_QUANTITY</w:t>
            </w:r>
          </w:p>
        </w:tc>
        <w:tc>
          <w:tcPr>
            <w:tcW w:type="dxa" w:w="5040"/>
          </w:tcPr>
          <w:p>
            <w:r>
              <w:t>Buy 10 units</w:t>
            </w:r>
          </w:p>
        </w:tc>
      </w:tr>
      <w:tr>
        <w:tc>
          <w:tcPr>
            <w:tcW w:type="dxa" w:w="5040"/>
          </w:tcPr>
          <w:p>
            <w:r>
              <w:t>FIXED_NOTIONAL</w:t>
            </w:r>
          </w:p>
        </w:tc>
        <w:tc>
          <w:tcPr>
            <w:tcW w:type="dxa" w:w="5040"/>
          </w:tcPr>
          <w:p>
            <w:r>
              <w:t>Allocate up to ₹25,000</w:t>
            </w:r>
          </w:p>
        </w:tc>
      </w:tr>
      <w:tr>
        <w:tc>
          <w:tcPr>
            <w:tcW w:type="dxa" w:w="5040"/>
          </w:tcPr>
          <w:p>
            <w:r>
              <w:t>PORTFOLIO_PERCENT</w:t>
            </w:r>
          </w:p>
        </w:tc>
        <w:tc>
          <w:tcPr>
            <w:tcW w:type="dxa" w:w="5040"/>
          </w:tcPr>
          <w:p>
            <w:r>
              <w:t>Use up to 5% of configured portfolio base</w:t>
            </w:r>
          </w:p>
        </w:tc>
      </w:tr>
      <w:tr>
        <w:tc>
          <w:tcPr>
            <w:tcW w:type="dxa" w:w="5040"/>
          </w:tcPr>
          <w:p>
            <w:r>
              <w:t>STRATEGY_BUDGET</w:t>
            </w:r>
          </w:p>
        </w:tc>
        <w:tc>
          <w:tcPr>
            <w:tcW w:type="dxa" w:w="5040"/>
          </w:tcPr>
          <w:p>
            <w:r>
              <w:t>Use remaining strategy budget</w:t>
            </w:r>
          </w:p>
        </w:tc>
      </w:tr>
      <w:tr>
        <w:tc>
          <w:tcPr>
            <w:tcW w:type="dxa" w:w="5040"/>
          </w:tcPr>
          <w:p>
            <w:r>
              <w:t>INSTRUMENT_CAP</w:t>
            </w:r>
          </w:p>
        </w:tc>
        <w:tc>
          <w:tcPr>
            <w:tcW w:type="dxa" w:w="5040"/>
          </w:tcPr>
          <w:p>
            <w:r>
              <w:t>Never exceed configured quantity/notional for one instrument</w:t>
            </w:r>
          </w:p>
        </w:tc>
      </w:tr>
    </w:tbl>
    <w:p>
      <w:r>
        <w:t>A configured allocation is a policy input, not a guarantee. The Risk Engine may reduce or reject the requested quantity.</w:t>
      </w:r>
    </w:p>
    <w:p>
      <w:pPr>
        <w:pStyle w:val="Heading1"/>
      </w:pPr>
      <w:r>
        <w:t>6. Allocation Request Calculation</w:t>
      </w:r>
    </w:p>
    <w:p>
      <w:r>
        <w:rPr>
          <w:rFonts w:ascii="Consolas" w:hAnsi="Consolas"/>
          <w:sz w:val="16"/>
        </w:rPr>
        <w:t>requestedQty =</w:t>
        <w:br/>
        <w:t xml:space="preserve">  switch(allocationType):</w:t>
        <w:br/>
        <w:t xml:space="preserve">    FIXED_QUANTITY   -&gt; configuredQty</w:t>
        <w:br/>
        <w:t xml:space="preserve">    FIXED_NOTIONAL   -&gt; floor(maxNotional / referencePrice)</w:t>
        <w:br/>
        <w:t xml:space="preserve">    PORTFOLIO_PERCENT-&gt; floor(portfolioBase * percent / referencePrice)</w:t>
        <w:br/>
        <w:t xml:space="preserve">    STRATEGY_BUDGET  -&gt; floor(remainingBudget / referencePrice)</w:t>
      </w:r>
    </w:p>
    <w:p>
      <w:r>
        <w:t>Reference price selection is explicit and versioned. For initial design it may use the candidate trigger price or another approved reference from the market observation contract. Rounding must respect instrument lot-size and quantity constraints.</w:t>
      </w:r>
    </w:p>
    <w:p>
      <w:pPr>
        <w:pStyle w:val="Heading1"/>
      </w:pPr>
      <w:r>
        <w:t>7. Risk Policy Model</w:t>
      </w:r>
    </w:p>
    <w:p>
      <w:r>
        <w:rPr>
          <w:rFonts w:ascii="Consolas" w:hAnsi="Consolas"/>
          <w:sz w:val="16"/>
        </w:rPr>
        <w:t>RiskPolicy {</w:t>
        <w:br/>
        <w:t xml:space="preserve">  policyId,</w:t>
        <w:br/>
        <w:t xml:space="preserve">  version,</w:t>
        <w:br/>
        <w:t xml:space="preserve">  enabled,</w:t>
        <w:br/>
        <w:t xml:space="preserve">  maxOrderNotional,</w:t>
        <w:br/>
        <w:t xml:space="preserve">  maxPositionQty,</w:t>
        <w:br/>
        <w:t xml:space="preserve">  maxInstrumentExposure,</w:t>
        <w:br/>
        <w:t xml:space="preserve">  maxStrategyExposure,</w:t>
        <w:br/>
        <w:t xml:space="preserve">  maxPortfolioExposure,</w:t>
        <w:br/>
        <w:t xml:space="preserve">  maxDailyLoss,</w:t>
        <w:br/>
        <w:t xml:space="preserve">  maxOpenPositions,</w:t>
        <w:br/>
        <w:t xml:space="preserve">  cooldownRules,</w:t>
        <w:br/>
        <w:t xml:space="preserve">  allowedTradingWindow,</w:t>
        <w:br/>
        <w:t xml:space="preserve">  failClosed</w:t>
        <w:br/>
        <w:t>}</w:t>
      </w:r>
    </w:p>
    <w:p>
      <w:r>
        <w:t>The first implementation should keep the policy model intentionally bounded and configuration-driven. Additional risk dimensions can be introduced through versioned policy extensions rather than arbitrary scripts.</w:t>
      </w:r>
    </w:p>
    <w:p>
      <w:pPr>
        <w:pStyle w:val="Heading1"/>
      </w:pPr>
      <w:r>
        <w:t>8. Decision Pipeline</w:t>
      </w:r>
    </w:p>
    <w:p>
      <w:r>
        <w:rPr>
          <w:rFonts w:ascii="Consolas" w:hAnsi="Consolas"/>
          <w:sz w:val="16"/>
        </w:rPr>
        <w:t>CandidateIntent</w:t>
        <w:br/>
        <w:t xml:space="preserve">     │</w:t>
        <w:br/>
        <w:t xml:space="preserve">     ▼</w:t>
        <w:br/>
        <w:t>1. Idempotency check</w:t>
        <w:br/>
        <w:t xml:space="preserve">     │</w:t>
        <w:br/>
        <w:t xml:space="preserve">     ▼</w:t>
        <w:br/>
        <w:t>2. Load allocation + risk policy versions</w:t>
        <w:br/>
        <w:t xml:space="preserve">     │</w:t>
        <w:br/>
        <w:t xml:space="preserve">     ▼</w:t>
        <w:br/>
        <w:t>3. Load portfolio/account snapshot</w:t>
        <w:br/>
        <w:t xml:space="preserve">     │</w:t>
        <w:br/>
        <w:t xml:space="preserve">     ▼</w:t>
        <w:br/>
        <w:t>4. Validate market/reference data</w:t>
        <w:br/>
        <w:t xml:space="preserve">     │</w:t>
        <w:br/>
        <w:t xml:space="preserve">     ▼</w:t>
        <w:br/>
        <w:t>5. Calculate requested quantity</w:t>
        <w:br/>
        <w:t xml:space="preserve">     │</w:t>
        <w:br/>
        <w:t xml:space="preserve">     ▼</w:t>
        <w:br/>
        <w:t>6. Apply hard constraints</w:t>
        <w:br/>
        <w:t xml:space="preserve">     │</w:t>
        <w:br/>
        <w:t xml:space="preserve">     ├── reject</w:t>
        <w:br/>
        <w:t xml:space="preserve">     │</w:t>
        <w:br/>
        <w:t xml:space="preserve">     └── continue</w:t>
        <w:br/>
        <w:t xml:space="preserve">           ▼</w:t>
        <w:br/>
        <w:t>7. Calculate maximum permitted quantity</w:t>
        <w:br/>
        <w:t xml:space="preserve">     │</w:t>
        <w:br/>
        <w:t xml:space="preserve">     ▼</w:t>
        <w:br/>
        <w:t>8. Approve / Resize / Reject</w:t>
        <w:br/>
        <w:t xml:space="preserve">     │</w:t>
        <w:br/>
        <w:t xml:space="preserve">     ▼</w:t>
        <w:br/>
        <w:t>9. Persist decision + publish downstream event</w:t>
      </w:r>
    </w:p>
    <w:p>
      <w:pPr>
        <w:pStyle w:val="Heading1"/>
      </w:pPr>
      <w:r>
        <w:t>9. Risk Checks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Check</w:t>
            </w:r>
          </w:p>
        </w:tc>
        <w:tc>
          <w:tcPr>
            <w:tcW w:type="dxa" w:w="5040"/>
          </w:tcPr>
          <w:p>
            <w:r>
              <w:t>Typical Action</w:t>
            </w:r>
          </w:p>
        </w:tc>
      </w:tr>
      <w:tr>
        <w:tc>
          <w:tcPr>
            <w:tcW w:type="dxa" w:w="5040"/>
          </w:tcPr>
          <w:p>
            <w:r>
              <w:t>Risk policy disabled/invalid</w:t>
            </w:r>
          </w:p>
        </w:tc>
        <w:tc>
          <w:tcPr>
            <w:tcW w:type="dxa" w:w="5040"/>
          </w:tcPr>
          <w:p>
            <w:r>
              <w:t>Reject or configured fail-safe behavior</w:t>
            </w:r>
          </w:p>
        </w:tc>
      </w:tr>
      <w:tr>
        <w:tc>
          <w:tcPr>
            <w:tcW w:type="dxa" w:w="5040"/>
          </w:tcPr>
          <w:p>
            <w:r>
              <w:t>Trading window closed</w:t>
            </w:r>
          </w:p>
        </w:tc>
        <w:tc>
          <w:tcPr>
            <w:tcW w:type="dxa" w:w="5040"/>
          </w:tcPr>
          <w:p>
            <w:r>
              <w:t>Reject</w:t>
            </w:r>
          </w:p>
        </w:tc>
      </w:tr>
      <w:tr>
        <w:tc>
          <w:tcPr>
            <w:tcW w:type="dxa" w:w="5040"/>
          </w:tcPr>
          <w:p>
            <w:r>
              <w:t>Reference price unavailable/stale</w:t>
            </w:r>
          </w:p>
        </w:tc>
        <w:tc>
          <w:tcPr>
            <w:tcW w:type="dxa" w:w="5040"/>
          </w:tcPr>
          <w:p>
            <w:r>
              <w:t>Reject</w:t>
            </w:r>
          </w:p>
        </w:tc>
      </w:tr>
      <w:tr>
        <w:tc>
          <w:tcPr>
            <w:tcW w:type="dxa" w:w="5040"/>
          </w:tcPr>
          <w:p>
            <w:r>
              <w:t>Requested quantity &lt;= 0</w:t>
            </w:r>
          </w:p>
        </w:tc>
        <w:tc>
          <w:tcPr>
            <w:tcW w:type="dxa" w:w="5040"/>
          </w:tcPr>
          <w:p>
            <w:r>
              <w:t>Reject</w:t>
            </w:r>
          </w:p>
        </w:tc>
      </w:tr>
      <w:tr>
        <w:tc>
          <w:tcPr>
            <w:tcW w:type="dxa" w:w="5040"/>
          </w:tcPr>
          <w:p>
            <w:r>
              <w:t>Max order notional exceeded</w:t>
            </w:r>
          </w:p>
        </w:tc>
        <w:tc>
          <w:tcPr>
            <w:tcW w:type="dxa" w:w="5040"/>
          </w:tcPr>
          <w:p>
            <w:r>
              <w:t>Resize or reject</w:t>
            </w:r>
          </w:p>
        </w:tc>
      </w:tr>
      <w:tr>
        <w:tc>
          <w:tcPr>
            <w:tcW w:type="dxa" w:w="5040"/>
          </w:tcPr>
          <w:p>
            <w:r>
              <w:t>Max position quantity exceeded</w:t>
            </w:r>
          </w:p>
        </w:tc>
        <w:tc>
          <w:tcPr>
            <w:tcW w:type="dxa" w:w="5040"/>
          </w:tcPr>
          <w:p>
            <w:r>
              <w:t>Resize or reject</w:t>
            </w:r>
          </w:p>
        </w:tc>
      </w:tr>
      <w:tr>
        <w:tc>
          <w:tcPr>
            <w:tcW w:type="dxa" w:w="5040"/>
          </w:tcPr>
          <w:p>
            <w:r>
              <w:t>Instrument exposure exceeded</w:t>
            </w:r>
          </w:p>
        </w:tc>
        <w:tc>
          <w:tcPr>
            <w:tcW w:type="dxa" w:w="5040"/>
          </w:tcPr>
          <w:p>
            <w:r>
              <w:t>Resize or reject</w:t>
            </w:r>
          </w:p>
        </w:tc>
      </w:tr>
      <w:tr>
        <w:tc>
          <w:tcPr>
            <w:tcW w:type="dxa" w:w="5040"/>
          </w:tcPr>
          <w:p>
            <w:r>
              <w:t>Strategy budget exceeded</w:t>
            </w:r>
          </w:p>
        </w:tc>
        <w:tc>
          <w:tcPr>
            <w:tcW w:type="dxa" w:w="5040"/>
          </w:tcPr>
          <w:p>
            <w:r>
              <w:t>Resize or reject</w:t>
            </w:r>
          </w:p>
        </w:tc>
      </w:tr>
      <w:tr>
        <w:tc>
          <w:tcPr>
            <w:tcW w:type="dxa" w:w="5040"/>
          </w:tcPr>
          <w:p>
            <w:r>
              <w:t>Portfolio exposure exceeded</w:t>
            </w:r>
          </w:p>
        </w:tc>
        <w:tc>
          <w:tcPr>
            <w:tcW w:type="dxa" w:w="5040"/>
          </w:tcPr>
          <w:p>
            <w:r>
              <w:t>Resize or reject</w:t>
            </w:r>
          </w:p>
        </w:tc>
      </w:tr>
      <w:tr>
        <w:tc>
          <w:tcPr>
            <w:tcW w:type="dxa" w:w="5040"/>
          </w:tcPr>
          <w:p>
            <w:r>
              <w:t>Daily loss limit breached</w:t>
            </w:r>
          </w:p>
        </w:tc>
        <w:tc>
          <w:tcPr>
            <w:tcW w:type="dxa" w:w="5040"/>
          </w:tcPr>
          <w:p>
            <w:r>
              <w:t>Reject and optionally halt strategy</w:t>
            </w:r>
          </w:p>
        </w:tc>
      </w:tr>
      <w:tr>
        <w:tc>
          <w:tcPr>
            <w:tcW w:type="dxa" w:w="5040"/>
          </w:tcPr>
          <w:p>
            <w:r>
              <w:t>Maximum open positions reached</w:t>
            </w:r>
          </w:p>
        </w:tc>
        <w:tc>
          <w:tcPr>
            <w:tcW w:type="dxa" w:w="5040"/>
          </w:tcPr>
          <w:p>
            <w:r>
              <w:t>Reject</w:t>
            </w:r>
          </w:p>
        </w:tc>
      </w:tr>
      <w:tr>
        <w:tc>
          <w:tcPr>
            <w:tcW w:type="dxa" w:w="5040"/>
          </w:tcPr>
          <w:p>
            <w:r>
              <w:t>Cooldown active</w:t>
            </w:r>
          </w:p>
        </w:tc>
        <w:tc>
          <w:tcPr>
            <w:tcW w:type="dxa" w:w="5040"/>
          </w:tcPr>
          <w:p>
            <w:r>
              <w:t>Reject</w:t>
            </w:r>
          </w:p>
        </w:tc>
      </w:tr>
    </w:tbl>
    <w:p>
      <w:pPr>
        <w:pStyle w:val="Heading1"/>
      </w:pPr>
      <w:r>
        <w:t>10. Quantity as a Constraint Problem</w:t>
      </w:r>
    </w:p>
    <w:p>
      <w:r>
        <w:t>The engine should calculate the maximum quantity allowed by all applicable constraints and choose the minimum permitted value.</w:t>
      </w:r>
    </w:p>
    <w:p>
      <w:r>
        <w:rPr>
          <w:rFonts w:ascii="Consolas" w:hAnsi="Consolas"/>
          <w:sz w:val="16"/>
        </w:rPr>
        <w:t>permittedQty =</w:t>
        <w:br/>
        <w:t>min(</w:t>
        <w:br/>
        <w:t xml:space="preserve">  requestedQty,</w:t>
        <w:br/>
        <w:t xml:space="preserve">  qtyAllowedByOrderNotional,</w:t>
        <w:br/>
        <w:t xml:space="preserve">  qtyAllowedByPosition,</w:t>
        <w:br/>
        <w:t xml:space="preserve">  qtyAllowedByInstrumentExposure,</w:t>
        <w:br/>
        <w:t xml:space="preserve">  qtyAllowedByStrategyBudget,</w:t>
        <w:br/>
        <w:t xml:space="preserve">  qtyAllowedByPortfolioExposure</w:t>
        <w:br/>
        <w:t>)</w:t>
        <w:br/>
        <w:br/>
        <w:t>permittedQty = normalizeToLotSize(permittedQty)</w:t>
      </w:r>
    </w:p>
    <w:p>
      <w:r>
        <w:t>If permittedQty is zero, the candidate is rejected. If permittedQty is positive but lower than requestedQty, the decision is RESIZED. Otherwise it is APPROVED.</w:t>
      </w:r>
    </w:p>
    <w:p>
      <w:pPr>
        <w:pStyle w:val="Heading1"/>
      </w:pPr>
      <w:r>
        <w:t>11. Example: Buy-Low Candidate</w:t>
      </w:r>
    </w:p>
    <w:p>
      <w:r>
        <w:rPr>
          <w:rFonts w:ascii="Consolas" w:hAnsi="Consolas"/>
          <w:sz w:val="16"/>
        </w:rPr>
        <w:t>CandidateIntent:</w:t>
        <w:br/>
        <w:t xml:space="preserve">  RELIANCE BUY</w:t>
        <w:br/>
        <w:t xml:space="preserve">  triggerPrice = 1245</w:t>
        <w:br/>
        <w:t xml:space="preserve">  allocation = FIXED_NOTIONAL ₹50,000</w:t>
        <w:br/>
        <w:br/>
        <w:t>Requested quantity:</w:t>
        <w:br/>
        <w:t xml:space="preserve">  floor(50,000 / 1,245) = 40</w:t>
        <w:br/>
        <w:br/>
        <w:t>Risk constraints:</w:t>
        <w:br/>
        <w:t xml:space="preserve">  maxOrderNotional allows 40</w:t>
        <w:br/>
        <w:t xml:space="preserve">  maxPositionQty allows 25</w:t>
        <w:br/>
        <w:t xml:space="preserve">  instrument exposure allows 30</w:t>
        <w:br/>
        <w:br/>
        <w:t>permittedQty = min(40, 40, 25, 30) = 25</w:t>
        <w:br/>
        <w:br/>
        <w:t>Decision = RESIZED</w:t>
        <w:br/>
        <w:t>Reason = MAX_POSITION_QTY</w:t>
      </w:r>
    </w:p>
    <w:p>
      <w:pPr>
        <w:pStyle w:val="Heading1"/>
      </w:pPr>
      <w:r>
        <w:t>12. Portfolio and Position Snapshot</w:t>
      </w:r>
    </w:p>
    <w:p>
      <w:r>
        <w:t>Risk decisions depend on a consistent view of current exposure. The engine receives a versioned PortfolioRiskSnapshot rather than reading mutable state repeatedly during one decision.</w:t>
      </w:r>
    </w:p>
    <w:p>
      <w:r>
        <w:rPr>
          <w:rFonts w:ascii="Consolas" w:hAnsi="Consolas"/>
          <w:sz w:val="16"/>
        </w:rPr>
        <w:t>PortfolioRiskSnapshot {</w:t>
        <w:br/>
        <w:t xml:space="preserve">  snapshotId,</w:t>
        <w:br/>
        <w:t xml:space="preserve">  accountId,</w:t>
        <w:br/>
        <w:t xml:space="preserve">  snapshotVersion,</w:t>
        <w:br/>
        <w:t xml:space="preserve">  availableCapital,</w:t>
        <w:br/>
        <w:t xml:space="preserve">  dailyRealizedPnl,</w:t>
        <w:br/>
        <w:t xml:space="preserve">  dailyUnrealizedPnl,</w:t>
        <w:br/>
        <w:t xml:space="preserve">  totalExposure,</w:t>
        <w:br/>
        <w:t xml:space="preserve">  positions[],</w:t>
        <w:br/>
        <w:t xml:space="preserve">  openPositionCount,</w:t>
        <w:br/>
        <w:t xml:space="preserve">  capturedAt</w:t>
        <w:br/>
        <w:t>}</w:t>
      </w:r>
    </w:p>
    <w:p>
      <w:r>
        <w:t>The freshness contract for this snapshot is explicit. If required data is stale beyond configured tolerance, fail-closed policies reject approval.</w:t>
      </w:r>
    </w:p>
    <w:p>
      <w:pPr>
        <w:pStyle w:val="Heading1"/>
      </w:pPr>
      <w:r>
        <w:t>13. Concurrency and Reservation</w:t>
      </w:r>
    </w:p>
    <w:p>
      <w:r>
        <w:t>Two candidates can arrive close together and both appear safe if they independently read the same available budget. Therefore approval requires a concurrency-safe reservation or equivalent atomic exposure update.</w:t>
      </w:r>
    </w:p>
    <w:p>
      <w:r>
        <w:rPr>
          <w:rFonts w:ascii="Consolas" w:hAnsi="Consolas"/>
          <w:sz w:val="16"/>
        </w:rPr>
        <w:t>Available strategy budget = ₹100,000</w:t>
        <w:br/>
        <w:br/>
        <w:t>Candidate A requests ₹70,000</w:t>
        <w:br/>
        <w:t>Candidate B requests ₹70,000</w:t>
        <w:br/>
        <w:br/>
        <w:t>Unsafe:</w:t>
        <w:br/>
        <w:t>A reads 100,000 → approve</w:t>
        <w:br/>
        <w:t>B reads 100,000 → approve</w:t>
        <w:br/>
        <w:br/>
        <w:t>Required:</w:t>
        <w:br/>
        <w:t>Atomic reservation / serialized risk scope</w:t>
        <w:br/>
        <w:t>A reserves 70,000</w:t>
        <w:br/>
        <w:t>B sees 30,000 remaining → resize/reject</w:t>
      </w:r>
    </w:p>
    <w:p>
      <w:r>
        <w:t>The reservation key should align with the constrained resource, for example account + strategy, account + instrument or portfolio scope. This concurrency model is separate from the upstream EvaluationKey mailbox because multiple instruments can legitimately compete for the same portfolio budget.</w:t>
      </w:r>
    </w:p>
    <w:p>
      <w:pPr>
        <w:pStyle w:val="Heading1"/>
      </w:pPr>
      <w:r>
        <w:t>14. Idempotency and Exactly-Once Decision Effects</w:t>
      </w:r>
    </w:p>
    <w:p>
      <w:pPr>
        <w:pStyle w:val="ListBullet"/>
      </w:pPr>
      <w:r>
        <w:t>Use CandidateIntent.idempotencyKey as the stable deduplication identity.</w:t>
      </w:r>
    </w:p>
    <w:p>
      <w:pPr>
        <w:pStyle w:val="ListBullet"/>
      </w:pPr>
      <w:r>
        <w:t>Persist the decision and any reservation atomically where the chosen storage model supports it.</w:t>
      </w:r>
    </w:p>
    <w:p>
      <w:pPr>
        <w:pStyle w:val="ListBullet"/>
      </w:pPr>
      <w:r>
        <w:t>Duplicate delivery returns the existing decision rather than consuming budget again.</w:t>
      </w:r>
    </w:p>
    <w:p>
      <w:pPr>
        <w:pStyle w:val="ListBullet"/>
      </w:pPr>
      <w:r>
        <w:t>Downstream probable-trade/execution consumers enforce their own idempotency.</w:t>
      </w:r>
    </w:p>
    <w:p>
      <w:pPr>
        <w:pStyle w:val="ListBullet"/>
      </w:pPr>
      <w:r>
        <w:t>Decision status and policy versions are retained for audit.</w:t>
      </w:r>
    </w:p>
    <w:p>
      <w:pPr>
        <w:pStyle w:val="Heading1"/>
      </w:pPr>
      <w:r>
        <w:t>15. Decision Result</w:t>
      </w:r>
    </w:p>
    <w:p>
      <w:r>
        <w:rPr>
          <w:rFonts w:ascii="Consolas" w:hAnsi="Consolas"/>
          <w:sz w:val="16"/>
        </w:rPr>
        <w:t>AllocationRiskDecision {</w:t>
        <w:br/>
        <w:t xml:space="preserve">  decisionId,</w:t>
        <w:br/>
        <w:t xml:space="preserve">  intentId,</w:t>
        <w:br/>
        <w:t xml:space="preserve">  idempotencyKey,</w:t>
        <w:br/>
        <w:t xml:space="preserve">  status,              // APPROVED | RESIZED | REJECTED</w:t>
        <w:br/>
        <w:t xml:space="preserve">  requestedQty,</w:t>
        <w:br/>
        <w:t xml:space="preserve">  permittedQty,</w:t>
        <w:br/>
        <w:t xml:space="preserve">  approvedReferencePrice,</w:t>
        <w:br/>
        <w:t xml:space="preserve">  allocationPolicyVersion,</w:t>
        <w:br/>
        <w:t xml:space="preserve">  riskPolicyVersion,</w:t>
        <w:br/>
        <w:t xml:space="preserve">  portfolioSnapshotId,</w:t>
        <w:br/>
        <w:t xml:space="preserve">  checks[],</w:t>
        <w:br/>
        <w:t xml:space="preserve">  reasons[],</w:t>
        <w:br/>
        <w:t xml:space="preserve">  createdAt</w:t>
        <w:br/>
        <w:t>}</w:t>
      </w:r>
    </w:p>
    <w:p>
      <w:pPr>
        <w:pStyle w:val="Heading1"/>
      </w:pPr>
      <w:r>
        <w:t>16. Decision Trace</w:t>
      </w:r>
    </w:p>
    <w:p>
      <w:r>
        <w:t>Every applied check produces structured evidence suitable for debugging and on-demand explanation.</w:t>
      </w:r>
    </w:p>
    <w:p>
      <w:r>
        <w:rPr>
          <w:rFonts w:ascii="Consolas" w:hAnsi="Consolas"/>
          <w:sz w:val="16"/>
        </w:rPr>
        <w:t>RiskCheckResult {</w:t>
        <w:br/>
        <w:t xml:space="preserve">  checkId,</w:t>
        <w:br/>
        <w:t xml:space="preserve">  policyPath,</w:t>
        <w:br/>
        <w:t xml:space="preserve">  status,       // PASS | FAIL | ADJUSTED</w:t>
        <w:br/>
        <w:t xml:space="preserve">  requestedValue,</w:t>
        <w:br/>
        <w:t xml:space="preserve">  allowedValue,</w:t>
        <w:br/>
        <w:t xml:space="preserve">  resultingValue,</w:t>
        <w:br/>
        <w:t xml:space="preserve">  reasonCode</w:t>
        <w:br/>
        <w:t>}</w:t>
      </w:r>
    </w:p>
    <w:p>
      <w:r>
        <w:t>The UI can display these results directly. If the user requests an AI explanation, a curated decision trace may be passed to the configured AI service; no AI call occurs automatically in the decision path.</w:t>
      </w:r>
    </w:p>
    <w:p>
      <w:pPr>
        <w:pStyle w:val="Heading1"/>
      </w:pPr>
      <w:r>
        <w:t>17. State and Lifecycle</w:t>
      </w:r>
    </w:p>
    <w:p>
      <w:r>
        <w:rPr>
          <w:rFonts w:ascii="Consolas" w:hAnsi="Consolas"/>
          <w:sz w:val="16"/>
        </w:rPr>
        <w:t>CandidateIntent</w:t>
        <w:br/>
        <w:t xml:space="preserve">    │</w:t>
        <w:br/>
        <w:t xml:space="preserve">    ▼</w:t>
        <w:br/>
        <w:t>PENDING</w:t>
        <w:br/>
        <w:t xml:space="preserve">    │</w:t>
        <w:br/>
        <w:t xml:space="preserve">    ├── validation failure ───────► REJECTED</w:t>
        <w:br/>
        <w:t xml:space="preserve">    │</w:t>
        <w:br/>
        <w:t xml:space="preserve">    ├── constraints reduce qty ───► RESIZED</w:t>
        <w:br/>
        <w:t xml:space="preserve">    │                                 │</w:t>
        <w:br/>
        <w:t xml:space="preserve">    └── constraints satisfied ─────► APPROVED</w:t>
        <w:br/>
        <w:t xml:space="preserve">                                      │</w:t>
        <w:br/>
        <w:t xml:space="preserve">                                      ▼</w:t>
        <w:br/>
        <w:t xml:space="preserve">                           downstream handoff recorded</w:t>
      </w:r>
    </w:p>
    <w:p>
      <w:r>
        <w:t>A decision may have separate operational delivery status without changing its business approval status.</w:t>
      </w:r>
    </w:p>
    <w:p>
      <w:pPr>
        <w:pStyle w:val="Heading1"/>
      </w:pPr>
      <w:r>
        <w:t>18. Simulation Mode</w:t>
      </w:r>
    </w:p>
    <w:p>
      <w:r>
        <w:t>Simulation uses the same allocation and risk calculations. The PortfolioRiskSnapshot is supplied by a simulated portfolio adapter and resulting decisions are recorded as simulated decisions/trades.</w:t>
      </w:r>
    </w:p>
    <w:p>
      <w:pPr>
        <w:pStyle w:val="ListBullet"/>
      </w:pPr>
      <w:r>
        <w:t>No live broker order is placed.</w:t>
      </w:r>
    </w:p>
    <w:p>
      <w:pPr>
        <w:pStyle w:val="ListBullet"/>
      </w:pPr>
      <w:r>
        <w:t>Simulated fills may use a separately documented execution model.</w:t>
      </w:r>
    </w:p>
    <w:p>
      <w:pPr>
        <w:pStyle w:val="ListBullet"/>
      </w:pPr>
      <w:r>
        <w:t>Historical replay remains reproducible using versioned allocation/risk policies.</w:t>
      </w:r>
    </w:p>
    <w:p>
      <w:pPr>
        <w:pStyle w:val="ListBullet"/>
      </w:pPr>
      <w:r>
        <w:t>The simulation report should identify assumptions such as fill price and costs.</w:t>
      </w:r>
    </w:p>
    <w:p>
      <w:pPr>
        <w:pStyle w:val="Heading1"/>
      </w:pPr>
      <w:r>
        <w:t>19. Observability</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Metric/Signal</w:t>
            </w:r>
          </w:p>
        </w:tc>
        <w:tc>
          <w:tcPr>
            <w:tcW w:type="dxa" w:w="5040"/>
          </w:tcPr>
          <w:p>
            <w:r>
              <w:t>Purpose</w:t>
            </w:r>
          </w:p>
        </w:tc>
      </w:tr>
      <w:tr>
        <w:tc>
          <w:tcPr>
            <w:tcW w:type="dxa" w:w="5040"/>
          </w:tcPr>
          <w:p>
            <w:r>
              <w:t>risk_decision_total</w:t>
            </w:r>
          </w:p>
        </w:tc>
        <w:tc>
          <w:tcPr>
            <w:tcW w:type="dxa" w:w="5040"/>
          </w:tcPr>
          <w:p>
            <w:r>
              <w:t>Volume by status</w:t>
            </w:r>
          </w:p>
        </w:tc>
      </w:tr>
      <w:tr>
        <w:tc>
          <w:tcPr>
            <w:tcW w:type="dxa" w:w="5040"/>
          </w:tcPr>
          <w:p>
            <w:r>
              <w:t>risk_rejection_total</w:t>
            </w:r>
          </w:p>
        </w:tc>
        <w:tc>
          <w:tcPr>
            <w:tcW w:type="dxa" w:w="5040"/>
          </w:tcPr>
          <w:p>
            <w:r>
              <w:t>Rejected candidates by reason</w:t>
            </w:r>
          </w:p>
        </w:tc>
      </w:tr>
      <w:tr>
        <w:tc>
          <w:tcPr>
            <w:tcW w:type="dxa" w:w="5040"/>
          </w:tcPr>
          <w:p>
            <w:r>
              <w:t>risk_resize_total</w:t>
            </w:r>
          </w:p>
        </w:tc>
        <w:tc>
          <w:tcPr>
            <w:tcW w:type="dxa" w:w="5040"/>
          </w:tcPr>
          <w:p>
            <w:r>
              <w:t>Quantity reductions</w:t>
            </w:r>
          </w:p>
        </w:tc>
      </w:tr>
      <w:tr>
        <w:tc>
          <w:tcPr>
            <w:tcW w:type="dxa" w:w="5040"/>
          </w:tcPr>
          <w:p>
            <w:r>
              <w:t>risk_decision_duration</w:t>
            </w:r>
          </w:p>
        </w:tc>
        <w:tc>
          <w:tcPr>
            <w:tcW w:type="dxa" w:w="5040"/>
          </w:tcPr>
          <w:p>
            <w:r>
              <w:t>Latency</w:t>
            </w:r>
          </w:p>
        </w:tc>
      </w:tr>
      <w:tr>
        <w:tc>
          <w:tcPr>
            <w:tcW w:type="dxa" w:w="5040"/>
          </w:tcPr>
          <w:p>
            <w:r>
              <w:t>risk_reservation_conflict_total</w:t>
            </w:r>
          </w:p>
        </w:tc>
        <w:tc>
          <w:tcPr>
            <w:tcW w:type="dxa" w:w="5040"/>
          </w:tcPr>
          <w:p>
            <w:r>
              <w:t>Concurrency pressure</w:t>
            </w:r>
          </w:p>
        </w:tc>
      </w:tr>
      <w:tr>
        <w:tc>
          <w:tcPr>
            <w:tcW w:type="dxa" w:w="5040"/>
          </w:tcPr>
          <w:p>
            <w:r>
              <w:t>portfolio_snapshot_stale_total</w:t>
            </w:r>
          </w:p>
        </w:tc>
        <w:tc>
          <w:tcPr>
            <w:tcW w:type="dxa" w:w="5040"/>
          </w:tcPr>
          <w:p>
            <w:r>
              <w:t>Data freshness issues</w:t>
            </w:r>
          </w:p>
        </w:tc>
      </w:tr>
      <w:tr>
        <w:tc>
          <w:tcPr>
            <w:tcW w:type="dxa" w:w="5040"/>
          </w:tcPr>
          <w:p>
            <w:r>
              <w:t>risk_limit_breach_total</w:t>
            </w:r>
          </w:p>
        </w:tc>
        <w:tc>
          <w:tcPr>
            <w:tcW w:type="dxa" w:w="5040"/>
          </w:tcPr>
          <w:p>
            <w:r>
              <w:t>Limit monitoring</w:t>
            </w:r>
          </w:p>
        </w:tc>
      </w:tr>
    </w:tbl>
    <w:p>
      <w:r>
        <w:t>Logs and traces should correlate intentId, strategyExecutionId, instrumentId, decisionId, allocation policy version and risk policy version.</w:t>
      </w:r>
    </w:p>
    <w:p>
      <w:pPr>
        <w:pStyle w:val="Heading1"/>
      </w:pPr>
      <w:r>
        <w:t>20. Failure Handling</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Failure</w:t>
            </w:r>
          </w:p>
        </w:tc>
        <w:tc>
          <w:tcPr>
            <w:tcW w:type="dxa" w:w="5040"/>
          </w:tcPr>
          <w:p>
            <w:r>
              <w:t>Handling</w:t>
            </w:r>
          </w:p>
        </w:tc>
      </w:tr>
      <w:tr>
        <w:tc>
          <w:tcPr>
            <w:tcW w:type="dxa" w:w="5040"/>
          </w:tcPr>
          <w:p>
            <w:r>
              <w:t>Policy unavailable</w:t>
            </w:r>
          </w:p>
        </w:tc>
        <w:tc>
          <w:tcPr>
            <w:tcW w:type="dxa" w:w="5040"/>
          </w:tcPr>
          <w:p>
            <w:r>
              <w:t>Fail closed when mandatory</w:t>
            </w:r>
          </w:p>
        </w:tc>
      </w:tr>
      <w:tr>
        <w:tc>
          <w:tcPr>
            <w:tcW w:type="dxa" w:w="5040"/>
          </w:tcPr>
          <w:p>
            <w:r>
              <w:t>Snapshot stale/missing</w:t>
            </w:r>
          </w:p>
        </w:tc>
        <w:tc>
          <w:tcPr>
            <w:tcW w:type="dxa" w:w="5040"/>
          </w:tcPr>
          <w:p>
            <w:r>
              <w:t>Reject when required by policy</w:t>
            </w:r>
          </w:p>
        </w:tc>
      </w:tr>
      <w:tr>
        <w:tc>
          <w:tcPr>
            <w:tcW w:type="dxa" w:w="5040"/>
          </w:tcPr>
          <w:p>
            <w:r>
              <w:t>Reservation conflict</w:t>
            </w:r>
          </w:p>
        </w:tc>
        <w:tc>
          <w:tcPr>
            <w:tcW w:type="dxa" w:w="5040"/>
          </w:tcPr>
          <w:p>
            <w:r>
              <w:t>Retry or recalculate within bounded policy</w:t>
            </w:r>
          </w:p>
        </w:tc>
      </w:tr>
      <w:tr>
        <w:tc>
          <w:tcPr>
            <w:tcW w:type="dxa" w:w="5040"/>
          </w:tcPr>
          <w:p>
            <w:r>
              <w:t>Persistence failure</w:t>
            </w:r>
          </w:p>
        </w:tc>
        <w:tc>
          <w:tcPr>
            <w:tcW w:type="dxa" w:w="5040"/>
          </w:tcPr>
          <w:p>
            <w:r>
              <w:t>Do not publish approval without durable decision/reservation</w:t>
            </w:r>
          </w:p>
        </w:tc>
      </w:tr>
      <w:tr>
        <w:tc>
          <w:tcPr>
            <w:tcW w:type="dxa" w:w="5040"/>
          </w:tcPr>
          <w:p>
            <w:r>
              <w:t>Downstream publish failure</w:t>
            </w:r>
          </w:p>
        </w:tc>
        <w:tc>
          <w:tcPr>
            <w:tcW w:type="dxa" w:w="5040"/>
          </w:tcPr>
          <w:p>
            <w:r>
              <w:t>Use outbox/reliable delivery pattern</w:t>
            </w:r>
          </w:p>
        </w:tc>
      </w:tr>
      <w:tr>
        <w:tc>
          <w:tcPr>
            <w:tcW w:type="dxa" w:w="5040"/>
          </w:tcPr>
          <w:p>
            <w:r>
              <w:t>Unexpected engine error</w:t>
            </w:r>
          </w:p>
        </w:tc>
        <w:tc>
          <w:tcPr>
            <w:tcW w:type="dxa" w:w="5040"/>
          </w:tcPr>
          <w:p>
            <w:r>
              <w:t>Fail safely; preserve diagnostic context</w:t>
            </w:r>
          </w:p>
        </w:tc>
      </w:tr>
    </w:tbl>
    <w:p>
      <w:pPr>
        <w:pStyle w:val="Heading1"/>
      </w:pPr>
      <w:r>
        <w:t>21. Security and Authorization</w:t>
      </w:r>
    </w:p>
    <w:p>
      <w:pPr>
        <w:pStyle w:val="ListBullet"/>
      </w:pPr>
      <w:r>
        <w:t>Only authorized users/services may create or activate allocation and risk policies.</w:t>
      </w:r>
    </w:p>
    <w:p>
      <w:pPr>
        <w:pStyle w:val="ListBullet"/>
      </w:pPr>
      <w:r>
        <w:t>Policy changes are versioned and audited.</w:t>
      </w:r>
    </w:p>
    <w:p>
      <w:pPr>
        <w:pStyle w:val="ListBullet"/>
      </w:pPr>
      <w:r>
        <w:t>Production policy activation may require explicit approval workflow in a future governance enhancement.</w:t>
      </w:r>
    </w:p>
    <w:p>
      <w:pPr>
        <w:pStyle w:val="ListBullet"/>
      </w:pPr>
      <w:r>
        <w:t>Account identifiers and financial data in traces follow least-privilege access.</w:t>
      </w:r>
    </w:p>
    <w:p>
      <w:pPr>
        <w:pStyle w:val="ListBullet"/>
      </w:pPr>
      <w:r>
        <w:t>The engine exposes no arbitrary code execution path.</w:t>
      </w:r>
    </w:p>
    <w:p>
      <w:pPr>
        <w:pStyle w:val="Heading1"/>
      </w:pPr>
      <w:r>
        <w:t>22. Testing Strategy</w:t>
      </w:r>
    </w:p>
    <w:p>
      <w:pPr>
        <w:pStyle w:val="ListBullet"/>
      </w:pPr>
      <w:r>
        <w:t>Unit tests for every allocation type and quantity calculation.</w:t>
      </w:r>
    </w:p>
    <w:p>
      <w:pPr>
        <w:pStyle w:val="ListBullet"/>
      </w:pPr>
      <w:r>
        <w:t>Boundary tests for lot size, rounding and zero quantity.</w:t>
      </w:r>
    </w:p>
    <w:p>
      <w:pPr>
        <w:pStyle w:val="ListBullet"/>
      </w:pPr>
      <w:r>
        <w:t>Risk limit tests for each reject/resize condition.</w:t>
      </w:r>
    </w:p>
    <w:p>
      <w:pPr>
        <w:pStyle w:val="ListBullet"/>
      </w:pPr>
      <w:r>
        <w:t>Concurrency tests proving budget/exposure cannot be over-reserved.</w:t>
      </w:r>
    </w:p>
    <w:p>
      <w:pPr>
        <w:pStyle w:val="ListBullet"/>
      </w:pPr>
      <w:r>
        <w:t>Duplicate CandidateIntent tests proving idempotent decisions.</w:t>
      </w:r>
    </w:p>
    <w:p>
      <w:pPr>
        <w:pStyle w:val="ListBullet"/>
      </w:pPr>
      <w:r>
        <w:t>Buy-low candidate example tests from trigger to resized approval.</w:t>
      </w:r>
    </w:p>
    <w:p>
      <w:pPr>
        <w:pStyle w:val="ListBullet"/>
      </w:pPr>
      <w:r>
        <w:t>Stale portfolio snapshot and fail-closed tests.</w:t>
      </w:r>
    </w:p>
    <w:p>
      <w:pPr>
        <w:pStyle w:val="ListBullet"/>
      </w:pPr>
      <w:r>
        <w:t>Crash tests around decision persistence and downstream outbox publication.</w:t>
      </w:r>
    </w:p>
    <w:p>
      <w:pPr>
        <w:pStyle w:val="ListBullet"/>
      </w:pPr>
      <w:r>
        <w:t>Simulation/live parity tests using equivalent snapshots and policy versions.</w:t>
      </w:r>
    </w:p>
    <w:p>
      <w:pPr>
        <w:pStyle w:val="ListBullet"/>
      </w:pPr>
      <w:r>
        <w:t>Replay tests ensuring historical decisions retain original policy semantics.</w:t>
      </w:r>
    </w:p>
    <w:p>
      <w:pPr>
        <w:pStyle w:val="Heading1"/>
      </w:pPr>
      <w:r>
        <w:t>23. Suggested Java Package Structure</w:t>
      </w:r>
    </w:p>
    <w:p>
      <w:r>
        <w:rPr>
          <w:rFonts w:ascii="Consolas" w:hAnsi="Consolas"/>
          <w:sz w:val="16"/>
        </w:rPr>
        <w:t>strategy-runtime/</w:t>
        <w:br/>
        <w:t xml:space="preserve">  allocation/</w:t>
        <w:br/>
        <w:t xml:space="preserve">    AllocationEngine.java</w:t>
        <w:br/>
        <w:t xml:space="preserve">    AllocationPolicy.java</w:t>
        <w:br/>
        <w:t xml:space="preserve">    QuantityCalculator.java</w:t>
        <w:br/>
        <w:t xml:space="preserve">    LotSizeNormalizer.java</w:t>
        <w:br/>
        <w:t xml:space="preserve">  risk/</w:t>
        <w:br/>
        <w:t xml:space="preserve">    RiskEngine.java</w:t>
        <w:br/>
        <w:t xml:space="preserve">    RiskPolicy.java</w:t>
        <w:br/>
        <w:t xml:space="preserve">    RiskCheck.java</w:t>
        <w:br/>
        <w:t xml:space="preserve">    ReservationManager.java</w:t>
        <w:br/>
        <w:t xml:space="preserve">    PortfolioRiskSnapshot.java</w:t>
        <w:br/>
        <w:t xml:space="preserve">    AllocationRiskDecision.java</w:t>
        <w:br/>
        <w:t xml:space="preserve">    trace/</w:t>
        <w:br/>
        <w:t xml:space="preserve">    outbox/</w:t>
      </w:r>
    </w:p>
    <w:p>
      <w:pPr>
        <w:pStyle w:val="Heading1"/>
      </w:pPr>
      <w:r>
        <w:t>24. Recommended Interfaces</w:t>
      </w:r>
    </w:p>
    <w:p>
      <w:r>
        <w:rPr>
          <w:rFonts w:ascii="Consolas" w:hAnsi="Consolas"/>
          <w:sz w:val="16"/>
        </w:rPr>
        <w:t>public interface AllocationRiskEngine {</w:t>
        <w:br/>
        <w:t xml:space="preserve">    AllocationRiskDecision decide(</w:t>
        <w:br/>
        <w:t xml:space="preserve">        CandidateIntent intent,</w:t>
        <w:br/>
        <w:t xml:space="preserve">        AllocationPolicy allocationPolicy,</w:t>
        <w:br/>
        <w:t xml:space="preserve">        RiskPolicy riskPolicy,</w:t>
        <w:br/>
        <w:t xml:space="preserve">        PortfolioRiskSnapshot snapshot</w:t>
        <w:br/>
        <w:t xml:space="preserve">    );</w:t>
        <w:br/>
        <w:t>}</w:t>
        <w:br/>
        <w:br/>
        <w:t>public interface ExposureReservationManager {</w:t>
        <w:br/>
        <w:t xml:space="preserve">    ReservationResult reserve(</w:t>
        <w:br/>
        <w:t xml:space="preserve">        RiskScope scope,</w:t>
        <w:br/>
        <w:t xml:space="preserve">        ExposureRequest request,</w:t>
        <w:br/>
        <w:t xml:space="preserve">        String idempotencyKey</w:t>
        <w:br/>
        <w:t xml:space="preserve">    );</w:t>
        <w:br/>
        <w:t>}</w:t>
      </w:r>
    </w:p>
    <w:p>
      <w:pPr>
        <w:pStyle w:val="Heading1"/>
      </w:pPr>
      <w:r>
        <w:t>25. Acceptance Criteria</w:t>
      </w:r>
    </w:p>
    <w:p>
      <w:pPr>
        <w:pStyle w:val="ListBullet"/>
      </w:pPr>
      <w:r>
        <w:t>Candidate intents are processed without re-evaluating strategy rules.</w:t>
      </w:r>
    </w:p>
    <w:p>
      <w:pPr>
        <w:pStyle w:val="ListBullet"/>
      </w:pPr>
      <w:r>
        <w:t>Allocation supports configured quantity and notional-based models.</w:t>
      </w:r>
    </w:p>
    <w:p>
      <w:pPr>
        <w:pStyle w:val="ListBullet"/>
      </w:pPr>
      <w:r>
        <w:t>Risk constraints can approve, resize or reject a candidate.</w:t>
      </w:r>
    </w:p>
    <w:p>
      <w:pPr>
        <w:pStyle w:val="ListBullet"/>
      </w:pPr>
      <w:r>
        <w:t>Permitted quantity is calculated from the intersection of all applicable limits.</w:t>
      </w:r>
    </w:p>
    <w:p>
      <w:pPr>
        <w:pStyle w:val="ListBullet"/>
      </w:pPr>
      <w:r>
        <w:t>Portfolio/strategy/instrument budget competition is concurrency-safe.</w:t>
      </w:r>
    </w:p>
    <w:p>
      <w:pPr>
        <w:pStyle w:val="ListBullet"/>
      </w:pPr>
      <w:r>
        <w:t>Duplicate candidate delivery does not consume exposure twice.</w:t>
      </w:r>
    </w:p>
    <w:p>
      <w:pPr>
        <w:pStyle w:val="ListBullet"/>
      </w:pPr>
      <w:r>
        <w:t>Missing mandatory policy or stale critical data fails safely.</w:t>
      </w:r>
    </w:p>
    <w:p>
      <w:pPr>
        <w:pStyle w:val="ListBullet"/>
      </w:pPr>
      <w:r>
        <w:t>Every decision retains policy versions and structured reasons.</w:t>
      </w:r>
    </w:p>
    <w:p>
      <w:pPr>
        <w:pStyle w:val="ListBullet"/>
      </w:pPr>
      <w:r>
        <w:t>The engine does not place broker orders.</w:t>
      </w:r>
    </w:p>
    <w:p>
      <w:pPr>
        <w:pStyle w:val="ListBullet"/>
      </w:pPr>
      <w:r>
        <w:t>Simulation uses the same allocation/risk logic with simulated portfolio state.</w:t>
      </w:r>
    </w:p>
    <w:p>
      <w:pPr>
        <w:pStyle w:val="ListBullet"/>
      </w:pPr>
      <w:r>
        <w:t>Metrics and traces expose decisions, limit breaches, latency and reservation conflicts.</w:t>
      </w:r>
    </w:p>
    <w:p>
      <w:pPr>
        <w:pStyle w:val="ListBullet"/>
      </w:pPr>
      <w:r>
        <w:t>AI explanation is strictly on demand and outside the synchronous decision path.</w:t>
      </w:r>
    </w:p>
    <w:p>
      <w:pPr>
        <w:pStyle w:val="Heading1"/>
      </w:pPr>
      <w:r>
        <w:t>26. Dependencies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Dependency</w:t>
            </w:r>
          </w:p>
        </w:tc>
        <w:tc>
          <w:tcPr>
            <w:tcW w:type="dxa" w:w="5040"/>
          </w:tcPr>
          <w:p>
            <w:r>
              <w:t>Relationship</w:t>
            </w:r>
          </w:p>
        </w:tc>
      </w:tr>
      <w:tr>
        <w:tc>
          <w:tcPr>
            <w:tcW w:type="dxa" w:w="5040"/>
          </w:tcPr>
          <w:p>
            <w:r>
              <w:t>07.5 Workflow Engine</w:t>
            </w:r>
          </w:p>
        </w:tc>
        <w:tc>
          <w:tcPr>
            <w:tcW w:type="dxa" w:w="5040"/>
          </w:tcPr>
          <w:p>
            <w:r>
              <w:t>Produces CandidateIntent</w:t>
            </w:r>
          </w:p>
        </w:tc>
      </w:tr>
      <w:tr>
        <w:tc>
          <w:tcPr>
            <w:tcW w:type="dxa" w:w="5040"/>
          </w:tcPr>
          <w:p>
            <w:r>
              <w:t>07.6 Rule Engine</w:t>
            </w:r>
          </w:p>
        </w:tc>
        <w:tc>
          <w:tcPr>
            <w:tcW w:type="dxa" w:w="5040"/>
          </w:tcPr>
          <w:p>
            <w:r>
              <w:t>Explains why upstream rule matched; not re-evaluated</w:t>
            </w:r>
          </w:p>
        </w:tc>
      </w:tr>
      <w:tr>
        <w:tc>
          <w:tcPr>
            <w:tcW w:type="dxa" w:w="5040"/>
          </w:tcPr>
          <w:p>
            <w:r>
              <w:t>Strategy allocation configuration</w:t>
            </w:r>
          </w:p>
        </w:tc>
        <w:tc>
          <w:tcPr>
            <w:tcW w:type="dxa" w:w="5040"/>
          </w:tcPr>
          <w:p>
            <w:r>
              <w:t>Supplies allocation policy</w:t>
            </w:r>
          </w:p>
        </w:tc>
      </w:tr>
      <w:tr>
        <w:tc>
          <w:tcPr>
            <w:tcW w:type="dxa" w:w="5040"/>
          </w:tcPr>
          <w:p>
            <w:r>
              <w:t>Portfolio/Position service</w:t>
            </w:r>
          </w:p>
        </w:tc>
        <w:tc>
          <w:tcPr>
            <w:tcW w:type="dxa" w:w="5040"/>
          </w:tcPr>
          <w:p>
            <w:r>
              <w:t>Supplies PortfolioRiskSnapshot</w:t>
            </w:r>
          </w:p>
        </w:tc>
      </w:tr>
      <w:tr>
        <w:tc>
          <w:tcPr>
            <w:tcW w:type="dxa" w:w="5040"/>
          </w:tcPr>
          <w:p>
            <w:r>
              <w:t>Trade/Execution architecture</w:t>
            </w:r>
          </w:p>
        </w:tc>
        <w:tc>
          <w:tcPr>
            <w:tcW w:type="dxa" w:w="5040"/>
          </w:tcPr>
          <w:p>
            <w:r>
              <w:t>Consumes APPROVED/RESIZED decisions</w:t>
            </w:r>
          </w:p>
        </w:tc>
      </w:tr>
      <w:tr>
        <w:tc>
          <w:tcPr>
            <w:tcW w:type="dxa" w:w="5040"/>
          </w:tcPr>
          <w:p>
            <w:r>
              <w:t>Simulation/Replay architecture</w:t>
            </w:r>
          </w:p>
        </w:tc>
        <w:tc>
          <w:tcPr>
            <w:tcW w:type="dxa" w:w="5040"/>
          </w:tcPr>
          <w:p>
            <w:r>
              <w:t>Uses identical decision logic with simulated state</w:t>
            </w:r>
          </w:p>
        </w:tc>
      </w:tr>
    </w:tbl>
    <w:p>
      <w:pPr>
        <w:pStyle w:val="Heading1"/>
      </w:pPr>
      <w:r>
        <w:t>Conclusion</w:t>
      </w:r>
    </w:p>
    <w:p>
      <w:r>
        <w:t>The Allocation and Risk Engine forms a deliberate safety boundary between strategy intent and any downstream trade lifecycle. Strategies identify opportunities; this engine decides whether the opportunity is financially and operationally permissible and what quantity may be used. Concurrency-safe exposure reservation prevents simultaneous candidates from over-consuming shared capital, while versioned policies, idempotent decisions and structured traces support simulation, debugging, audit and strictly on-demand AI explanations.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