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07.9 – Trade Lifecycle Manager</w:t>
      </w:r>
    </w:p>
    <w:p>
      <w:pPr>
        <w:jc w:val="center"/>
      </w:pPr>
      <w:r>
        <w:rPr>
          <w:b/>
        </w:rPr>
        <w:t>Profit-Bees Strategy Platform | Version 1.0 – Review Draft</w:t>
      </w:r>
    </w:p>
    <w:p>
      <w:r>
        <w:t>Purpose: Define the component that owns the lifecycle of an approved trade decision from creation through position state changes, simulated or live execution handoff, broker execution updates, closure and final audit.</w:t>
      </w:r>
    </w:p>
    <w:p>
      <w:r>
        <w:t>Architecture alignment: 07.5 Workflow Engine, 07.8 Allocation and Risk Engine, normalized market observations and the broader Profit-Bees execution architecture. This document preserves the current separation between strategy evaluation, allocation/risk approval and actual broker integration.</w:t>
      </w:r>
    </w:p>
    <w:p>
      <w:pPr>
        <w:pStyle w:val="Heading1"/>
      </w:pPr>
      <w:r>
        <w:t>1. Scope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Create and manage TradeIntent/Trade lifecycle records</w:t>
            </w:r>
          </w:p>
        </w:tc>
        <w:tc>
          <w:tcPr>
            <w:tcW w:type="dxa" w:w="5040"/>
          </w:tcPr>
          <w:p>
            <w:r>
              <w:t>Strategy rule evaluation</w:t>
            </w:r>
          </w:p>
        </w:tc>
      </w:tr>
      <w:tr>
        <w:tc>
          <w:tcPr>
            <w:tcW w:type="dxa" w:w="5040"/>
          </w:tcPr>
          <w:p>
            <w:r>
              <w:t>Manage lifecycle states and valid transitions</w:t>
            </w:r>
          </w:p>
        </w:tc>
        <w:tc>
          <w:tcPr>
            <w:tcW w:type="dxa" w:w="5040"/>
          </w:tcPr>
          <w:p>
            <w:r>
              <w:t>Indicator calculation</w:t>
            </w:r>
          </w:p>
        </w:tc>
      </w:tr>
      <w:tr>
        <w:tc>
          <w:tcPr>
            <w:tcW w:type="dxa" w:w="5040"/>
          </w:tcPr>
          <w:p>
            <w:r>
              <w:t>Idempotent downstream handoff</w:t>
            </w:r>
          </w:p>
        </w:tc>
        <w:tc>
          <w:tcPr>
            <w:tcW w:type="dxa" w:w="5040"/>
          </w:tcPr>
          <w:p>
            <w:r>
              <w:t>Allocation and risk calculation</w:t>
            </w:r>
          </w:p>
        </w:tc>
      </w:tr>
      <w:tr>
        <w:tc>
          <w:tcPr>
            <w:tcW w:type="dxa" w:w="5040"/>
          </w:tcPr>
          <w:p>
            <w:r>
              <w:t>Receive execution/fill status</w:t>
            </w:r>
          </w:p>
        </w:tc>
        <w:tc>
          <w:tcPr>
            <w:tcW w:type="dxa" w:w="5040"/>
          </w:tcPr>
          <w:p>
            <w:r>
              <w:t>Market tick ingestion</w:t>
            </w:r>
          </w:p>
        </w:tc>
      </w:tr>
      <w:tr>
        <w:tc>
          <w:tcPr>
            <w:tcW w:type="dxa" w:w="5040"/>
          </w:tcPr>
          <w:p>
            <w:r>
              <w:t>Position updates and lifecycle audit</w:t>
            </w:r>
          </w:p>
        </w:tc>
        <w:tc>
          <w:tcPr>
            <w:tcW w:type="dxa" w:w="5040"/>
          </w:tcPr>
          <w:p>
            <w:r>
              <w:t>Direct broker SDK implementation details</w:t>
            </w:r>
          </w:p>
        </w:tc>
      </w:tr>
      <w:tr>
        <w:tc>
          <w:tcPr>
            <w:tcW w:type="dxa" w:w="5040"/>
          </w:tcPr>
          <w:p>
            <w:r>
              <w:t>Simulated and live lifecycle modes</w:t>
            </w:r>
          </w:p>
        </w:tc>
        <w:tc>
          <w:tcPr>
            <w:tcW w:type="dxa" w:w="5040"/>
          </w:tcPr>
          <w:p>
            <w:r>
              <w:t>AI decision-making</w:t>
            </w:r>
          </w:p>
        </w:tc>
      </w:tr>
    </w:tbl>
    <w:p>
      <w:pPr>
        <w:pStyle w:val="Heading1"/>
      </w:pPr>
      <w:r>
        <w:t>2. Architectural Position</w:t>
      </w:r>
    </w:p>
    <w:p>
      <w:r>
        <w:rPr>
          <w:rFonts w:ascii="Consolas" w:hAnsi="Consolas"/>
          <w:sz w:val="16"/>
        </w:rPr>
        <w:t>Strategy Workflow</w:t>
        <w:br/>
        <w:t xml:space="preserve">      │</w:t>
        <w:br/>
        <w:t xml:space="preserve">      ▼</w:t>
        <w:br/>
        <w:t>CandidateIntent</w:t>
        <w:br/>
        <w:t xml:space="preserve">      │</w:t>
        <w:br/>
        <w:t xml:space="preserve">      ▼</w:t>
        <w:br/>
        <w:t>Allocation &amp; Risk Engine</w:t>
        <w:br/>
        <w:t xml:space="preserve">      │</w:t>
        <w:br/>
        <w:t xml:space="preserve">      ▼</w:t>
        <w:br/>
        <w:t>APPROVED / RESIZED Decision</w:t>
        <w:br/>
        <w:t xml:space="preserve">      │</w:t>
        <w:br/>
        <w:t xml:space="preserve">      ▼</w:t>
        <w:br/>
        <w:t>TRADE LIFECYCLE MANAGER</w:t>
        <w:br/>
        <w:t xml:space="preserve">      │</w:t>
        <w:br/>
        <w:t xml:space="preserve">      ├── create lifecycle record</w:t>
        <w:br/>
        <w:t xml:space="preserve">      ├── idempotency</w:t>
        <w:br/>
        <w:t xml:space="preserve">      ├── state transitions</w:t>
        <w:br/>
        <w:t xml:space="preserve">      ├── execution handoff</w:t>
        <w:br/>
        <w:t xml:space="preserve">      ├── fill processing</w:t>
        <w:br/>
        <w:t xml:space="preserve">      └── position lifecycle</w:t>
        <w:br/>
        <w:t xml:space="preserve">      │</w:t>
        <w:br/>
        <w:t xml:space="preserve">      ▼</w:t>
        <w:br/>
        <w:t>Execution Adapter Boundary</w:t>
        <w:br/>
        <w:t xml:space="preserve">      ├── Simulation Adapter</w:t>
        <w:br/>
        <w:t xml:space="preserve">      └── Future Broker Execution Adapter</w:t>
      </w:r>
    </w:p>
    <w:p>
      <w:pPr>
        <w:pStyle w:val="Heading1"/>
      </w:pPr>
      <w:r>
        <w:t>3. Core Principles</w:t>
      </w:r>
    </w:p>
    <w:p>
      <w:pPr>
        <w:pStyle w:val="ListBullet"/>
      </w:pPr>
      <w:r>
        <w:t>One durable lifecycle identity represents one approved trade intent.</w:t>
      </w:r>
    </w:p>
    <w:p>
      <w:pPr>
        <w:pStyle w:val="ListBullet"/>
      </w:pPr>
      <w:r>
        <w:t>Lifecycle state changes are explicit, validated and auditable.</w:t>
      </w:r>
    </w:p>
    <w:p>
      <w:pPr>
        <w:pStyle w:val="ListBullet"/>
      </w:pPr>
      <w:r>
        <w:t>Duplicate messages and retries must not create duplicate trades.</w:t>
      </w:r>
    </w:p>
    <w:p>
      <w:pPr>
        <w:pStyle w:val="ListBullet"/>
      </w:pPr>
      <w:r>
        <w:t>Business lifecycle state is separated from transport/delivery state.</w:t>
      </w:r>
    </w:p>
    <w:p>
      <w:pPr>
        <w:pStyle w:val="ListBullet"/>
      </w:pPr>
      <w:r>
        <w:t>The Trade Lifecycle Manager does not re-run strategy rules or allocation checks.</w:t>
      </w:r>
    </w:p>
    <w:p>
      <w:pPr>
        <w:pStyle w:val="ListBullet"/>
      </w:pPr>
      <w:r>
        <w:t>Simulation and live execution share the same lifecycle contract.</w:t>
      </w:r>
    </w:p>
    <w:p>
      <w:pPr>
        <w:pStyle w:val="ListBullet"/>
      </w:pPr>
      <w:r>
        <w:t>Actual broker calls are isolated behind an execution adapter boundary.</w:t>
      </w:r>
    </w:p>
    <w:p>
      <w:pPr>
        <w:pStyle w:val="ListBullet"/>
      </w:pPr>
      <w:r>
        <w:t>Every meaningful state transition is attributable to an event, timestamp and correlation identity.</w:t>
      </w:r>
    </w:p>
    <w:p>
      <w:pPr>
        <w:pStyle w:val="Heading1"/>
      </w:pPr>
      <w:r>
        <w:t>4. Input Contract</w:t>
      </w:r>
    </w:p>
    <w:p>
      <w:r>
        <w:rPr>
          <w:rFonts w:ascii="Consolas" w:hAnsi="Consolas"/>
          <w:sz w:val="16"/>
        </w:rPr>
        <w:t>ApprovedTradeDecision {</w:t>
        <w:br/>
        <w:t xml:space="preserve">  decisionId,</w:t>
        <w:br/>
        <w:t xml:space="preserve">  intentId,</w:t>
        <w:br/>
        <w:t xml:space="preserve">  idempotencyKey,</w:t>
        <w:br/>
        <w:t xml:space="preserve">  strategyExecutionId,</w:t>
        <w:br/>
        <w:t xml:space="preserve">  instrumentId,</w:t>
        <w:br/>
        <w:t xml:space="preserve">  side,</w:t>
        <w:br/>
        <w:t xml:space="preserve">  permittedQty,</w:t>
        <w:br/>
        <w:t xml:space="preserve">  referencePrice,</w:t>
        <w:br/>
        <w:t xml:space="preserve">  policyVersions,</w:t>
        <w:br/>
        <w:t xml:space="preserve">  triggeringObservationId,</w:t>
        <w:br/>
        <w:t xml:space="preserve">  createdAt</w:t>
        <w:br/>
        <w:t>}</w:t>
      </w:r>
    </w:p>
    <w:p>
      <w:r>
        <w:t>Only APPROVED or RESIZED decisions with a positive permitted quantity are eligible to create a trade lifecycle. REJECTED decisions remain part of allocation/risk audit and do not enter the execution lifecycle.</w:t>
      </w:r>
    </w:p>
    <w:p>
      <w:pPr>
        <w:pStyle w:val="Heading1"/>
      </w:pPr>
      <w:r>
        <w:t>5. Core Domain Objects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Object</w:t>
            </w:r>
          </w:p>
        </w:tc>
        <w:tc>
          <w:tcPr>
            <w:tcW w:type="dxa" w:w="5040"/>
          </w:tcPr>
          <w:p>
            <w:r>
              <w:t>Responsibility</w:t>
            </w:r>
          </w:p>
        </w:tc>
      </w:tr>
      <w:tr>
        <w:tc>
          <w:tcPr>
            <w:tcW w:type="dxa" w:w="5040"/>
          </w:tcPr>
          <w:p>
            <w:r>
              <w:t>Trade</w:t>
            </w:r>
          </w:p>
        </w:tc>
        <w:tc>
          <w:tcPr>
            <w:tcW w:type="dxa" w:w="5040"/>
          </w:tcPr>
          <w:p>
            <w:r>
              <w:t>Business identity and current lifecycle state</w:t>
            </w:r>
          </w:p>
        </w:tc>
      </w:tr>
      <w:tr>
        <w:tc>
          <w:tcPr>
            <w:tcW w:type="dxa" w:w="5040"/>
          </w:tcPr>
          <w:p>
            <w:r>
              <w:t>TradeExecution</w:t>
            </w:r>
          </w:p>
        </w:tc>
        <w:tc>
          <w:tcPr>
            <w:tcW w:type="dxa" w:w="5040"/>
          </w:tcPr>
          <w:p>
            <w:r>
              <w:t>One or more execution attempts/fills</w:t>
            </w:r>
          </w:p>
        </w:tc>
      </w:tr>
      <w:tr>
        <w:tc>
          <w:tcPr>
            <w:tcW w:type="dxa" w:w="5040"/>
          </w:tcPr>
          <w:p>
            <w:r>
              <w:t>Position</w:t>
            </w:r>
          </w:p>
        </w:tc>
        <w:tc>
          <w:tcPr>
            <w:tcW w:type="dxa" w:w="5040"/>
          </w:tcPr>
          <w:p>
            <w:r>
              <w:t>Net open/closed exposure derived from fills</w:t>
            </w:r>
          </w:p>
        </w:tc>
      </w:tr>
      <w:tr>
        <w:tc>
          <w:tcPr>
            <w:tcW w:type="dxa" w:w="5040"/>
          </w:tcPr>
          <w:p>
            <w:r>
              <w:t>LifecycleEvent</w:t>
            </w:r>
          </w:p>
        </w:tc>
        <w:tc>
          <w:tcPr>
            <w:tcW w:type="dxa" w:w="5040"/>
          </w:tcPr>
          <w:p>
            <w:r>
              <w:t>Immutable state-transition evidence</w:t>
            </w:r>
          </w:p>
        </w:tc>
      </w:tr>
      <w:tr>
        <w:tc>
          <w:tcPr>
            <w:tcW w:type="dxa" w:w="5040"/>
          </w:tcPr>
          <w:p>
            <w:r>
              <w:t>ExecutionRequest</w:t>
            </w:r>
          </w:p>
        </w:tc>
        <w:tc>
          <w:tcPr>
            <w:tcW w:type="dxa" w:w="5040"/>
          </w:tcPr>
          <w:p>
            <w:r>
              <w:t>Adapter-facing request</w:t>
            </w:r>
          </w:p>
        </w:tc>
      </w:tr>
      <w:tr>
        <w:tc>
          <w:tcPr>
            <w:tcW w:type="dxa" w:w="5040"/>
          </w:tcPr>
          <w:p>
            <w:r>
              <w:t>ExecutionUpdate</w:t>
            </w:r>
          </w:p>
        </w:tc>
        <w:tc>
          <w:tcPr>
            <w:tcW w:type="dxa" w:w="5040"/>
          </w:tcPr>
          <w:p>
            <w:r>
              <w:t>Normalized broker/simulation response</w:t>
            </w:r>
          </w:p>
        </w:tc>
      </w:tr>
    </w:tbl>
    <w:p>
      <w:r>
        <w:rPr>
          <w:rFonts w:ascii="Consolas" w:hAnsi="Consolas"/>
          <w:sz w:val="16"/>
        </w:rPr>
        <w:t>Trade {</w:t>
        <w:br/>
        <w:t xml:space="preserve">  tradeId,</w:t>
        <w:br/>
        <w:t xml:space="preserve">  decisionId,</w:t>
        <w:br/>
        <w:t xml:space="preserve">  idempotencyKey,</w:t>
        <w:br/>
        <w:t xml:space="preserve">  strategyExecutionId,</w:t>
        <w:br/>
        <w:t xml:space="preserve">  instrumentId,</w:t>
        <w:br/>
        <w:t xml:space="preserve">  side,</w:t>
        <w:br/>
        <w:t xml:space="preserve">  requestedQty,</w:t>
        <w:br/>
        <w:t xml:space="preserve">  lifecycleStatus,</w:t>
        <w:br/>
        <w:t xml:space="preserve">  mode,                 // SIMULATION | LIVE</w:t>
        <w:br/>
        <w:t xml:space="preserve">  createdAt,</w:t>
        <w:br/>
        <w:t xml:space="preserve">  updatedAt</w:t>
        <w:br/>
        <w:t>}</w:t>
      </w:r>
    </w:p>
    <w:p>
      <w:pPr>
        <w:pStyle w:val="Heading1"/>
      </w:pPr>
      <w:r>
        <w:t>6. Lifecycle State Machine</w:t>
      </w:r>
    </w:p>
    <w:p>
      <w:r>
        <w:rPr>
          <w:rFonts w:ascii="Consolas" w:hAnsi="Consolas"/>
          <w:sz w:val="16"/>
        </w:rPr>
        <w:t>┌──────────────┐</w:t>
        <w:br/>
        <w:t xml:space="preserve">                │   CREATED    │</w:t>
        <w:br/>
        <w:t xml:space="preserve">                └──────┬───────┘</w:t>
        <w:br/>
        <w:t xml:space="preserve">                       ▼</w:t>
        <w:br/>
        <w:t xml:space="preserve">                 VALIDATED</w:t>
        <w:br/>
        <w:t xml:space="preserve">                       │</w:t>
        <w:br/>
        <w:t xml:space="preserve">          ┌────────────┼────────────┐</w:t>
        <w:br/>
        <w:t xml:space="preserve">          ▼            ▼            ▼</w:t>
        <w:br/>
        <w:t xml:space="preserve">      REJECTED      QUEUED       CANCELLED</w:t>
        <w:br/>
        <w:t xml:space="preserve">                       │</w:t>
        <w:br/>
        <w:t xml:space="preserve">                       ▼</w:t>
        <w:br/>
        <w:t xml:space="preserve">                 SUBMITTED</w:t>
        <w:br/>
        <w:t xml:space="preserve">                       │</w:t>
        <w:br/>
        <w:t xml:space="preserve">          ┌────────────┼─────────────┐</w:t>
        <w:br/>
        <w:t xml:space="preserve">          ▼            ▼             ▼</w:t>
        <w:br/>
        <w:t xml:space="preserve">      ACKNOWLEDGED   REJECTED      FAILED</w:t>
        <w:br/>
        <w:t xml:space="preserve">          │</w:t>
        <w:br/>
        <w:t xml:space="preserve">          ▼</w:t>
        <w:br/>
        <w:t xml:space="preserve">   PARTIALLY_FILLED</w:t>
        <w:br/>
        <w:t xml:space="preserve">          │</w:t>
        <w:br/>
        <w:t xml:space="preserve">          ├───────────────┐</w:t>
        <w:br/>
        <w:t xml:space="preserve">          ▼               ▼</w:t>
        <w:br/>
        <w:t xml:space="preserve">       FILLED         CANCELLED</w:t>
        <w:br/>
        <w:t xml:space="preserve">          │</w:t>
        <w:br/>
        <w:t xml:space="preserve">          ▼</w:t>
        <w:br/>
        <w:t xml:space="preserve">      POSITION_OPEN</w:t>
        <w:br/>
        <w:t xml:space="preserve">          │</w:t>
        <w:br/>
        <w:t xml:space="preserve">          ▼</w:t>
        <w:br/>
        <w:t xml:space="preserve">      EXIT_PENDING</w:t>
        <w:br/>
        <w:t xml:space="preserve">          │</w:t>
        <w:br/>
        <w:t xml:space="preserve">          ├───────────────┐</w:t>
        <w:br/>
        <w:t xml:space="preserve">          ▼               ▼</w:t>
        <w:br/>
        <w:t xml:space="preserve">      POSITION_CLOSED   EXIT_FAILED</w:t>
      </w:r>
    </w:p>
    <w:p>
      <w:r>
        <w:t>The exact set of broker-facing states may vary by integration. The platform state machine is normalized and remains stable even when external broker statuses differ.</w:t>
      </w:r>
    </w:p>
    <w:p>
      <w:pPr>
        <w:pStyle w:val="Heading1"/>
      </w:pPr>
      <w:r>
        <w:t>7. Transition Rules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Current State</w:t>
            </w:r>
          </w:p>
        </w:tc>
        <w:tc>
          <w:tcPr>
            <w:tcW w:type="dxa" w:w="5040"/>
          </w:tcPr>
          <w:p>
            <w:r>
              <w:t>Allowed Next States</w:t>
            </w:r>
          </w:p>
        </w:tc>
      </w:tr>
      <w:tr>
        <w:tc>
          <w:tcPr>
            <w:tcW w:type="dxa" w:w="5040"/>
          </w:tcPr>
          <w:p>
            <w:r>
              <w:t>CREATED</w:t>
            </w:r>
          </w:p>
        </w:tc>
        <w:tc>
          <w:tcPr>
            <w:tcW w:type="dxa" w:w="5040"/>
          </w:tcPr>
          <w:p>
            <w:r>
              <w:t>VALIDATED, CANCELLED</w:t>
            </w:r>
          </w:p>
        </w:tc>
      </w:tr>
      <w:tr>
        <w:tc>
          <w:tcPr>
            <w:tcW w:type="dxa" w:w="5040"/>
          </w:tcPr>
          <w:p>
            <w:r>
              <w:t>VALIDATED</w:t>
            </w:r>
          </w:p>
        </w:tc>
        <w:tc>
          <w:tcPr>
            <w:tcW w:type="dxa" w:w="5040"/>
          </w:tcPr>
          <w:p>
            <w:r>
              <w:t>QUEUED, REJECTED, CANCELLED</w:t>
            </w:r>
          </w:p>
        </w:tc>
      </w:tr>
      <w:tr>
        <w:tc>
          <w:tcPr>
            <w:tcW w:type="dxa" w:w="5040"/>
          </w:tcPr>
          <w:p>
            <w:r>
              <w:t>QUEUED</w:t>
            </w:r>
          </w:p>
        </w:tc>
        <w:tc>
          <w:tcPr>
            <w:tcW w:type="dxa" w:w="5040"/>
          </w:tcPr>
          <w:p>
            <w:r>
              <w:t>SUBMITTED, CANCELLED, FAILED</w:t>
            </w:r>
          </w:p>
        </w:tc>
      </w:tr>
      <w:tr>
        <w:tc>
          <w:tcPr>
            <w:tcW w:type="dxa" w:w="5040"/>
          </w:tcPr>
          <w:p>
            <w:r>
              <w:t>SUBMITTED</w:t>
            </w:r>
          </w:p>
        </w:tc>
        <w:tc>
          <w:tcPr>
            <w:tcW w:type="dxa" w:w="5040"/>
          </w:tcPr>
          <w:p>
            <w:r>
              <w:t>ACKNOWLEDGED, PARTIALLY_FILLED, FILLED, REJECTED, FAILED</w:t>
            </w:r>
          </w:p>
        </w:tc>
      </w:tr>
      <w:tr>
        <w:tc>
          <w:tcPr>
            <w:tcW w:type="dxa" w:w="5040"/>
          </w:tcPr>
          <w:p>
            <w:r>
              <w:t>ACKNOWLEDGED</w:t>
            </w:r>
          </w:p>
        </w:tc>
        <w:tc>
          <w:tcPr>
            <w:tcW w:type="dxa" w:w="5040"/>
          </w:tcPr>
          <w:p>
            <w:r>
              <w:t>PARTIALLY_FILLED, FILLED, CANCELLED, FAILED</w:t>
            </w:r>
          </w:p>
        </w:tc>
      </w:tr>
      <w:tr>
        <w:tc>
          <w:tcPr>
            <w:tcW w:type="dxa" w:w="5040"/>
          </w:tcPr>
          <w:p>
            <w:r>
              <w:t>PARTIALLY_FILLED</w:t>
            </w:r>
          </w:p>
        </w:tc>
        <w:tc>
          <w:tcPr>
            <w:tcW w:type="dxa" w:w="5040"/>
          </w:tcPr>
          <w:p>
            <w:r>
              <w:t>PARTIALLY_FILLED, FILLED, CANCELLED, FAILED</w:t>
            </w:r>
          </w:p>
        </w:tc>
      </w:tr>
      <w:tr>
        <w:tc>
          <w:tcPr>
            <w:tcW w:type="dxa" w:w="5040"/>
          </w:tcPr>
          <w:p>
            <w:r>
              <w:t>FILLED</w:t>
            </w:r>
          </w:p>
        </w:tc>
        <w:tc>
          <w:tcPr>
            <w:tcW w:type="dxa" w:w="5040"/>
          </w:tcPr>
          <w:p>
            <w:r>
              <w:t>POSITION_OPEN</w:t>
            </w:r>
          </w:p>
        </w:tc>
      </w:tr>
      <w:tr>
        <w:tc>
          <w:tcPr>
            <w:tcW w:type="dxa" w:w="5040"/>
          </w:tcPr>
          <w:p>
            <w:r>
              <w:t>POSITION_OPEN</w:t>
            </w:r>
          </w:p>
        </w:tc>
        <w:tc>
          <w:tcPr>
            <w:tcW w:type="dxa" w:w="5040"/>
          </w:tcPr>
          <w:p>
            <w:r>
              <w:t>EXIT_PENDING</w:t>
            </w:r>
          </w:p>
        </w:tc>
      </w:tr>
      <w:tr>
        <w:tc>
          <w:tcPr>
            <w:tcW w:type="dxa" w:w="5040"/>
          </w:tcPr>
          <w:p>
            <w:r>
              <w:t>EXIT_PENDING</w:t>
            </w:r>
          </w:p>
        </w:tc>
        <w:tc>
          <w:tcPr>
            <w:tcW w:type="dxa" w:w="5040"/>
          </w:tcPr>
          <w:p>
            <w:r>
              <w:t>PARTIALLY_FILLED, POSITION_CLOSED, EXIT_FAILED, FAILED</w:t>
            </w:r>
          </w:p>
        </w:tc>
      </w:tr>
    </w:tbl>
    <w:p>
      <w:r>
        <w:t>Transitions are validated centrally. An invalid external update must not silently overwrite the current lifecycle state.</w:t>
      </w:r>
    </w:p>
    <w:p>
      <w:pPr>
        <w:pStyle w:val="Heading1"/>
      </w:pPr>
      <w:r>
        <w:t>8. Idempotent Trade Creation</w:t>
      </w:r>
    </w:p>
    <w:p>
      <w:r>
        <w:rPr>
          <w:rFonts w:ascii="Consolas" w:hAnsi="Consolas"/>
          <w:sz w:val="16"/>
        </w:rPr>
        <w:t>idempotencyKey =</w:t>
        <w:br/>
        <w:t xml:space="preserve">  approvedDecision.idempotencyKey</w:t>
        <w:br/>
        <w:br/>
        <w:t>createTrade(decision):</w:t>
        <w:br/>
        <w:t xml:space="preserve">    existing = findByIdempotencyKey(key)</w:t>
        <w:br/>
        <w:t xml:space="preserve">    if existing:</w:t>
        <w:br/>
        <w:t xml:space="preserve">        return existing</w:t>
        <w:br/>
        <w:br/>
        <w:t xml:space="preserve">    persist Trade(CREATED)</w:t>
        <w:br/>
        <w:t xml:space="preserve">    persist LifecycleEvent(TRADE_CREATED)</w:t>
        <w:br/>
        <w:t xml:space="preserve">    publish lifecycle event via reliable outbox</w:t>
      </w:r>
    </w:p>
    <w:p>
      <w:r>
        <w:t>The unique constraint is enforced at durable storage level. Application-level checks alone are insufficient under concurrent delivery.</w:t>
      </w:r>
    </w:p>
    <w:p>
      <w:pPr>
        <w:pStyle w:val="Heading1"/>
      </w:pPr>
      <w:r>
        <w:t>9. Execution Mode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Mode</w:t>
            </w:r>
          </w:p>
        </w:tc>
        <w:tc>
          <w:tcPr>
            <w:tcW w:type="dxa" w:w="5040"/>
          </w:tcPr>
          <w:p>
            <w:r>
              <w:t>Behavior</w:t>
            </w:r>
          </w:p>
        </w:tc>
      </w:tr>
      <w:tr>
        <w:tc>
          <w:tcPr>
            <w:tcW w:type="dxa" w:w="5040"/>
          </w:tcPr>
          <w:p>
            <w:r>
              <w:t>SIMULATION</w:t>
            </w:r>
          </w:p>
        </w:tc>
        <w:tc>
          <w:tcPr>
            <w:tcW w:type="dxa" w:w="5040"/>
          </w:tcPr>
          <w:p>
            <w:r>
              <w:t>Execution request is sent to simulation adapter; no broker order</w:t>
            </w:r>
          </w:p>
        </w:tc>
      </w:tr>
      <w:tr>
        <w:tc>
          <w:tcPr>
            <w:tcW w:type="dxa" w:w="5040"/>
          </w:tcPr>
          <w:p>
            <w:r>
              <w:t>LIVE</w:t>
            </w:r>
          </w:p>
        </w:tc>
        <w:tc>
          <w:tcPr>
            <w:tcW w:type="dxa" w:w="5040"/>
          </w:tcPr>
          <w:p>
            <w:r>
              <w:t>Execution request is sent to broker execution adapter</w:t>
            </w:r>
          </w:p>
        </w:tc>
      </w:tr>
      <w:tr>
        <w:tc>
          <w:tcPr>
            <w:tcW w:type="dxa" w:w="5040"/>
          </w:tcPr>
          <w:p>
            <w:r>
              <w:t>SHADOW (future)</w:t>
            </w:r>
          </w:p>
        </w:tc>
        <w:tc>
          <w:tcPr>
            <w:tcW w:type="dxa" w:w="5040"/>
          </w:tcPr>
          <w:p>
            <w:r>
              <w:t>Evaluate execution path without creating external order</w:t>
            </w:r>
          </w:p>
        </w:tc>
      </w:tr>
    </w:tbl>
    <w:p>
      <w:r>
        <w:t>Mode is explicit on the Trade and cannot silently switch from simulation to live during an active lifecycle.</w:t>
      </w:r>
    </w:p>
    <w:p>
      <w:pPr>
        <w:pStyle w:val="Heading1"/>
      </w:pPr>
      <w:r>
        <w:t>10. Execution Handoff</w:t>
      </w:r>
    </w:p>
    <w:p>
      <w:r>
        <w:rPr>
          <w:rFonts w:ascii="Consolas" w:hAnsi="Consolas"/>
          <w:sz w:val="16"/>
        </w:rPr>
        <w:t>Trade QUEUED</w:t>
        <w:br/>
        <w:t xml:space="preserve">    │</w:t>
        <w:br/>
        <w:t xml:space="preserve">    ▼</w:t>
        <w:br/>
        <w:t>ExecutionRequestCreated</w:t>
        <w:br/>
        <w:t xml:space="preserve">    │</w:t>
        <w:br/>
        <w:t xml:space="preserve">    ▼</w:t>
        <w:br/>
        <w:t>Outbox / Reliable Delivery</w:t>
        <w:br/>
        <w:t xml:space="preserve">    │</w:t>
        <w:br/>
        <w:t xml:space="preserve">    ▼</w:t>
        <w:br/>
        <w:t>Execution Adapter</w:t>
        <w:br/>
        <w:t xml:space="preserve">    ├── SimulationExecutionAdapter</w:t>
        <w:br/>
        <w:t xml:space="preserve">    └── BrokerExecutionAdapter</w:t>
        <w:br/>
        <w:t xml:space="preserve">            │</w:t>
        <w:br/>
        <w:t xml:space="preserve">            ▼</w:t>
        <w:br/>
        <w:t xml:space="preserve">      ExecutionUpdate</w:t>
        <w:br/>
        <w:t xml:space="preserve">            │</w:t>
        <w:br/>
        <w:t xml:space="preserve">            ▼</w:t>
        <w:br/>
        <w:t>Trade Lifecycle Manager</w:t>
      </w:r>
    </w:p>
    <w:p>
      <w:r>
        <w:t>The lifecycle manager should persist the state change and outgoing event atomically using an outbox pattern. This avoids losing execution requests after a database commit succeeds but message delivery fails.</w:t>
      </w:r>
    </w:p>
    <w:p>
      <w:pPr>
        <w:pStyle w:val="Heading1"/>
      </w:pPr>
      <w:r>
        <w:t>11. Execution Update Normalization</w:t>
      </w:r>
    </w:p>
    <w:p>
      <w:r>
        <w:rPr>
          <w:rFonts w:ascii="Consolas" w:hAnsi="Consolas"/>
          <w:sz w:val="16"/>
        </w:rPr>
        <w:t>ExecutionUpdate {</w:t>
        <w:br/>
        <w:t xml:space="preserve">  externalExecutionId,</w:t>
        <w:br/>
        <w:t xml:space="preserve">  tradeId,</w:t>
        <w:br/>
        <w:t xml:space="preserve">  status,</w:t>
        <w:br/>
        <w:t xml:space="preserve">  cumulativeFilledQty,</w:t>
        <w:br/>
        <w:t xml:space="preserve">  lastFillQty,</w:t>
        <w:br/>
        <w:t xml:space="preserve">  lastFillPrice,</w:t>
        <w:br/>
        <w:t xml:space="preserve">  averageFillPrice,</w:t>
        <w:br/>
        <w:t xml:space="preserve">  eventTime,</w:t>
        <w:br/>
        <w:t xml:space="preserve">  receivedAt,</w:t>
        <w:br/>
        <w:t xml:space="preserve">  sourceSequence,</w:t>
        <w:br/>
        <w:t xml:space="preserve">  rawReference</w:t>
        <w:br/>
        <w:t>}</w:t>
      </w:r>
    </w:p>
    <w:p>
      <w:r>
        <w:t>The broker/simulation adapter normalizes external updates before the Trade Lifecycle Manager applies lifecycle transitions. Raw broker payload retention should follow security and retention policies.</w:t>
      </w:r>
    </w:p>
    <w:p>
      <w:pPr>
        <w:pStyle w:val="Heading1"/>
      </w:pPr>
      <w:r>
        <w:t>12. Partial Fills</w:t>
      </w:r>
    </w:p>
    <w:p>
      <w:r>
        <w:t>A trade may receive multiple fills. The lifecycle manager maintains cumulative quantities and execution records rather than assuming one order equals one fill.</w:t>
      </w:r>
    </w:p>
    <w:p>
      <w:r>
        <w:rPr>
          <w:rFonts w:ascii="Consolas" w:hAnsi="Consolas"/>
          <w:sz w:val="16"/>
        </w:rPr>
        <w:t>requestedQty = 100</w:t>
        <w:br/>
        <w:br/>
        <w:t>Fill 1: 40 @ 100.10</w:t>
        <w:br/>
        <w:t>Fill 2: 35 @ 100.20</w:t>
        <w:br/>
        <w:t>Fill 3: 25 @ 100.05</w:t>
        <w:br/>
        <w:br/>
        <w:t>cumulativeFilledQty = 100</w:t>
        <w:br/>
        <w:t>weightedAverageFillPrice = calculated from all fills</w:t>
        <w:br/>
        <w:t>status = FILLED</w:t>
      </w:r>
    </w:p>
    <w:p>
      <w:r>
        <w:t>Duplicate fill events are deduplicated using an external execution/fill identity where available, otherwise a normalized event identity derived from the adapter contract.</w:t>
      </w:r>
    </w:p>
    <w:p>
      <w:pPr>
        <w:pStyle w:val="Heading1"/>
      </w:pPr>
      <w:r>
        <w:t>13. Position Management</w:t>
      </w:r>
    </w:p>
    <w:p>
      <w:r>
        <w:t>A filled entry changes position state. The Position representation must distinguish intended quantity, filled quantity, open quantity and realized/unrealized values.</w:t>
      </w:r>
    </w:p>
    <w:p>
      <w:r>
        <w:rPr>
          <w:rFonts w:ascii="Consolas" w:hAnsi="Consolas"/>
          <w:sz w:val="16"/>
        </w:rPr>
        <w:t>Position {</w:t>
        <w:br/>
        <w:t xml:space="preserve">  positionId,</w:t>
        <w:br/>
        <w:t xml:space="preserve">  instrumentId,</w:t>
        <w:br/>
        <w:t xml:space="preserve">  strategyExecutionId,</w:t>
        <w:br/>
        <w:t xml:space="preserve">  netQty,</w:t>
        <w:br/>
        <w:t xml:space="preserve">  averageEntryPrice,</w:t>
        <w:br/>
        <w:t xml:space="preserve">  realizedPnl,</w:t>
        <w:br/>
        <w:t xml:space="preserve">  status,       // OPEN | CLOSED</w:t>
        <w:br/>
        <w:t xml:space="preserve">  openedAt,</w:t>
        <w:br/>
        <w:t xml:space="preserve">  closedAt</w:t>
        <w:br/>
        <w:t>}</w:t>
      </w:r>
    </w:p>
    <w:p>
      <w:r>
        <w:t>Position update semantics must be consistent with the selected account/netting model. The initial implementation should explicitly choose whether positions are tracked per trade, per strategy execution or aggregated per account/instrument.</w:t>
      </w:r>
    </w:p>
    <w:p>
      <w:pPr>
        <w:pStyle w:val="Heading1"/>
      </w:pPr>
      <w:r>
        <w:t>14. Entry and Exit Relationship</w:t>
      </w:r>
    </w:p>
    <w:p>
      <w:r>
        <w:t>An exit lifecycle is linked to the open position or entry trade it reduces/closes. The relationship must support partial exits.</w:t>
      </w:r>
    </w:p>
    <w:p>
      <w:r>
        <w:rPr>
          <w:rFonts w:ascii="Consolas" w:hAnsi="Consolas"/>
          <w:sz w:val="16"/>
        </w:rPr>
        <w:t>Entry Trade FILLED</w:t>
        <w:br/>
        <w:t xml:space="preserve">        │</w:t>
        <w:br/>
        <w:t xml:space="preserve">        ▼</w:t>
        <w:br/>
        <w:t xml:space="preserve">   POSITION_OPEN</w:t>
        <w:br/>
        <w:t xml:space="preserve">        │</w:t>
        <w:br/>
        <w:t xml:space="preserve">        ├── Exit 30%</w:t>
        <w:br/>
        <w:t xml:space="preserve">        ├── Exit 20%</w:t>
        <w:br/>
        <w:t xml:space="preserve">        └── Exit 50%</w:t>
        <w:br/>
        <w:t xml:space="preserve">                │</w:t>
        <w:br/>
        <w:t xml:space="preserve">                ▼</w:t>
        <w:br/>
        <w:t xml:space="preserve">          POSITION_CLOSED</w:t>
      </w:r>
    </w:p>
    <w:p>
      <w:r>
        <w:t>The strategy/workflow that generates an exit produces a new candidate intent, which again passes through Allocation/Risk checks as appropriate before entering this lifecycle. The lifecycle manager does not invent exit decisions.</w:t>
      </w:r>
    </w:p>
    <w:p>
      <w:pPr>
        <w:pStyle w:val="Heading1"/>
      </w:pPr>
      <w:r>
        <w:t>15. Market Timestamp and IST Requirements</w:t>
      </w:r>
    </w:p>
    <w:p>
      <w:r>
        <w:t>Lifecycle events retain canonical timestamps for ordering and integration. Business-facing trade and execution times are presented and reported consistently in IST as required by the Profit-Bees functional requirement.</w:t>
      </w:r>
    </w:p>
    <w:p>
      <w:pPr>
        <w:pStyle w:val="ListBullet"/>
      </w:pPr>
      <w:r>
        <w:t>Keep source event time, platform received time and lifecycle transition time distinct.</w:t>
      </w:r>
    </w:p>
    <w:p>
      <w:pPr>
        <w:pStyle w:val="ListBullet"/>
      </w:pPr>
      <w:r>
        <w:t>Use canonical instants for ordering, timeout and duration calculations.</w:t>
      </w:r>
    </w:p>
    <w:p>
      <w:pPr>
        <w:pStyle w:val="ListBullet"/>
      </w:pPr>
      <w:r>
        <w:t>IST conversion is performed consistently for UI, reporting and audit views.</w:t>
      </w:r>
    </w:p>
    <w:p>
      <w:pPr>
        <w:pStyle w:val="ListBullet"/>
      </w:pPr>
      <w:r>
        <w:t>Do not overwrite broker/source timestamps with local display timestamps.</w:t>
      </w:r>
    </w:p>
    <w:p>
      <w:pPr>
        <w:pStyle w:val="Heading1"/>
      </w:pPr>
      <w:r>
        <w:t>16. Concurrency and Ordering</w:t>
      </w:r>
    </w:p>
    <w:p>
      <w:r>
        <w:t>Trade lifecycle concurrency differs from upstream market-tick concurrency. Lifecycle updates for the same Trade must be serialized or protected with optimistic versioning/conditional updates.</w:t>
      </w:r>
    </w:p>
    <w:p>
      <w:r>
        <w:rPr>
          <w:rFonts w:ascii="Consolas" w:hAnsi="Consolas"/>
          <w:sz w:val="16"/>
        </w:rPr>
        <w:t>TradeId T123:</w:t>
        <w:br/>
        <w:t xml:space="preserve">  Update A → version 7 → 8</w:t>
        <w:br/>
        <w:t xml:space="preserve">  Update B with expected version 7 → conflict → reload/reconcile</w:t>
        <w:br/>
        <w:br/>
        <w:t>OR</w:t>
        <w:br/>
        <w:br/>
        <w:t>Trade lifecycle mailbox keyed by TradeId</w:t>
      </w:r>
    </w:p>
    <w:p>
      <w:r>
        <w:t>The implementation may use optimistic locking, a TradeId-partitioned mailbox, or a combination. The invariant is that concurrent execution updates cannot corrupt cumulative fill quantity or cause invalid state transitions.</w:t>
      </w:r>
    </w:p>
    <w:p>
      <w:pPr>
        <w:pStyle w:val="Heading1"/>
      </w:pPr>
      <w:r>
        <w:t>17. Failure and Recovery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Handling</w:t>
            </w:r>
          </w:p>
        </w:tc>
      </w:tr>
      <w:tr>
        <w:tc>
          <w:tcPr>
            <w:tcW w:type="dxa" w:w="5040"/>
          </w:tcPr>
          <w:p>
            <w:r>
              <w:t>Duplicate approved decision</w:t>
            </w:r>
          </w:p>
        </w:tc>
        <w:tc>
          <w:tcPr>
            <w:tcW w:type="dxa" w:w="5040"/>
          </w:tcPr>
          <w:p>
            <w:r>
              <w:t>Return existing Trade</w:t>
            </w:r>
          </w:p>
        </w:tc>
      </w:tr>
      <w:tr>
        <w:tc>
          <w:tcPr>
            <w:tcW w:type="dxa" w:w="5040"/>
          </w:tcPr>
          <w:p>
            <w:r>
              <w:t>Duplicate execution update</w:t>
            </w:r>
          </w:p>
        </w:tc>
        <w:tc>
          <w:tcPr>
            <w:tcW w:type="dxa" w:w="5040"/>
          </w:tcPr>
          <w:p>
            <w:r>
              <w:t>Deduplicate; do not add fill twice</w:t>
            </w:r>
          </w:p>
        </w:tc>
      </w:tr>
      <w:tr>
        <w:tc>
          <w:tcPr>
            <w:tcW w:type="dxa" w:w="5040"/>
          </w:tcPr>
          <w:p>
            <w:r>
              <w:t>Out-of-order update</w:t>
            </w:r>
          </w:p>
        </w:tc>
        <w:tc>
          <w:tcPr>
            <w:tcW w:type="dxa" w:w="5040"/>
          </w:tcPr>
          <w:p>
            <w:r>
              <w:t>Validate sequence/status and reconcile</w:t>
            </w:r>
          </w:p>
        </w:tc>
      </w:tr>
      <w:tr>
        <w:tc>
          <w:tcPr>
            <w:tcW w:type="dxa" w:w="5040"/>
          </w:tcPr>
          <w:p>
            <w:r>
              <w:t>Adapter timeout</w:t>
            </w:r>
          </w:p>
        </w:tc>
        <w:tc>
          <w:tcPr>
            <w:tcW w:type="dxa" w:w="5040"/>
          </w:tcPr>
          <w:p>
            <w:r>
              <w:t>Keep lifecycle pending; retry according to policy</w:t>
            </w:r>
          </w:p>
        </w:tc>
      </w:tr>
      <w:tr>
        <w:tc>
          <w:tcPr>
            <w:tcW w:type="dxa" w:w="5040"/>
          </w:tcPr>
          <w:p>
            <w:r>
              <w:t>Crash after persistence</w:t>
            </w:r>
          </w:p>
        </w:tc>
        <w:tc>
          <w:tcPr>
            <w:tcW w:type="dxa" w:w="5040"/>
          </w:tcPr>
          <w:p>
            <w:r>
              <w:t>Outbox/recovery resumes delivery</w:t>
            </w:r>
          </w:p>
        </w:tc>
      </w:tr>
      <w:tr>
        <w:tc>
          <w:tcPr>
            <w:tcW w:type="dxa" w:w="5040"/>
          </w:tcPr>
          <w:p>
            <w:r>
              <w:t>Crash after external submission</w:t>
            </w:r>
          </w:p>
        </w:tc>
        <w:tc>
          <w:tcPr>
            <w:tcW w:type="dxa" w:w="5040"/>
          </w:tcPr>
          <w:p>
            <w:r>
              <w:t>Reconcile using client/external correlation ID</w:t>
            </w:r>
          </w:p>
        </w:tc>
      </w:tr>
      <w:tr>
        <w:tc>
          <w:tcPr>
            <w:tcW w:type="dxa" w:w="5040"/>
          </w:tcPr>
          <w:p>
            <w:r>
              <w:t>Unknown external status</w:t>
            </w:r>
          </w:p>
        </w:tc>
        <w:tc>
          <w:tcPr>
            <w:tcW w:type="dxa" w:w="5040"/>
          </w:tcPr>
          <w:p>
            <w:r>
              <w:t>Move to controlled reconciliation state/operational alert</w:t>
            </w:r>
          </w:p>
        </w:tc>
      </w:tr>
    </w:tbl>
    <w:p>
      <w:pPr>
        <w:pStyle w:val="Heading1"/>
      </w:pPr>
      <w:r>
        <w:t>18. Reconciliation</w:t>
      </w:r>
    </w:p>
    <w:p>
      <w:r>
        <w:t>Because external broker execution is eventually consistent and failures can occur between submission and response, reconciliation is a first-class lifecycle capability.</w:t>
      </w:r>
    </w:p>
    <w:p>
      <w:pPr>
        <w:pStyle w:val="ListBullet"/>
      </w:pPr>
      <w:r>
        <w:t>Persist a client correlation ID before external submission.</w:t>
      </w:r>
    </w:p>
    <w:p>
      <w:pPr>
        <w:pStyle w:val="ListBullet"/>
      </w:pPr>
      <w:r>
        <w:t>Query/reconcile unresolved submissions using the broker integration layer where supported.</w:t>
      </w:r>
    </w:p>
    <w:p>
      <w:pPr>
        <w:pStyle w:val="ListBullet"/>
      </w:pPr>
      <w:r>
        <w:t>Compare external execution identity, cumulative quantity and status.</w:t>
      </w:r>
    </w:p>
    <w:p>
      <w:pPr>
        <w:pStyle w:val="ListBullet"/>
      </w:pPr>
      <w:r>
        <w:t>Produce reconciliation alerts instead of automatically assuming cancellation or success.</w:t>
      </w:r>
    </w:p>
    <w:p>
      <w:pPr>
        <w:pStyle w:val="Heading1"/>
      </w:pPr>
      <w:r>
        <w:t>19. Observability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Metric/Signal</w:t>
            </w:r>
          </w:p>
        </w:tc>
        <w:tc>
          <w:tcPr>
            <w:tcW w:type="dxa" w:w="5040"/>
          </w:tcPr>
          <w:p>
            <w:r>
              <w:t>Purpose</w:t>
            </w:r>
          </w:p>
        </w:tc>
      </w:tr>
      <w:tr>
        <w:tc>
          <w:tcPr>
            <w:tcW w:type="dxa" w:w="5040"/>
          </w:tcPr>
          <w:p>
            <w:r>
              <w:t>trade_lifecycle_total</w:t>
            </w:r>
          </w:p>
        </w:tc>
        <w:tc>
          <w:tcPr>
            <w:tcW w:type="dxa" w:w="5040"/>
          </w:tcPr>
          <w:p>
            <w:r>
              <w:t>Trade volume by state/mode</w:t>
            </w:r>
          </w:p>
        </w:tc>
      </w:tr>
      <w:tr>
        <w:tc>
          <w:tcPr>
            <w:tcW w:type="dxa" w:w="5040"/>
          </w:tcPr>
          <w:p>
            <w:r>
              <w:t>trade_transition_total</w:t>
            </w:r>
          </w:p>
        </w:tc>
        <w:tc>
          <w:tcPr>
            <w:tcW w:type="dxa" w:w="5040"/>
          </w:tcPr>
          <w:p>
            <w:r>
              <w:t>State transitions</w:t>
            </w:r>
          </w:p>
        </w:tc>
      </w:tr>
      <w:tr>
        <w:tc>
          <w:tcPr>
            <w:tcW w:type="dxa" w:w="5040"/>
          </w:tcPr>
          <w:p>
            <w:r>
              <w:t>execution_update_lag</w:t>
            </w:r>
          </w:p>
        </w:tc>
        <w:tc>
          <w:tcPr>
            <w:tcW w:type="dxa" w:w="5040"/>
          </w:tcPr>
          <w:p>
            <w:r>
              <w:t>External event latency</w:t>
            </w:r>
          </w:p>
        </w:tc>
      </w:tr>
      <w:tr>
        <w:tc>
          <w:tcPr>
            <w:tcW w:type="dxa" w:w="5040"/>
          </w:tcPr>
          <w:p>
            <w:r>
              <w:t>partial_fill_total</w:t>
            </w:r>
          </w:p>
        </w:tc>
        <w:tc>
          <w:tcPr>
            <w:tcW w:type="dxa" w:w="5040"/>
          </w:tcPr>
          <w:p>
            <w:r>
              <w:t>Partial fill monitoring</w:t>
            </w:r>
          </w:p>
        </w:tc>
      </w:tr>
      <w:tr>
        <w:tc>
          <w:tcPr>
            <w:tcW w:type="dxa" w:w="5040"/>
          </w:tcPr>
          <w:p>
            <w:r>
              <w:t>lifecycle_transition_error_total</w:t>
            </w:r>
          </w:p>
        </w:tc>
        <w:tc>
          <w:tcPr>
            <w:tcW w:type="dxa" w:w="5040"/>
          </w:tcPr>
          <w:p>
            <w:r>
              <w:t>Invalid/failed transitions</w:t>
            </w:r>
          </w:p>
        </w:tc>
      </w:tr>
      <w:tr>
        <w:tc>
          <w:tcPr>
            <w:tcW w:type="dxa" w:w="5040"/>
          </w:tcPr>
          <w:p>
            <w:r>
              <w:t>reconciliation_pending_total</w:t>
            </w:r>
          </w:p>
        </w:tc>
        <w:tc>
          <w:tcPr>
            <w:tcW w:type="dxa" w:w="5040"/>
          </w:tcPr>
          <w:p>
            <w:r>
              <w:t>Operational risk</w:t>
            </w:r>
          </w:p>
        </w:tc>
      </w:tr>
      <w:tr>
        <w:tc>
          <w:tcPr>
            <w:tcW w:type="dxa" w:w="5040"/>
          </w:tcPr>
          <w:p>
            <w:r>
              <w:t>outbox_pending_total</w:t>
            </w:r>
          </w:p>
        </w:tc>
        <w:tc>
          <w:tcPr>
            <w:tcW w:type="dxa" w:w="5040"/>
          </w:tcPr>
          <w:p>
            <w:r>
              <w:t>Delivery health</w:t>
            </w:r>
          </w:p>
        </w:tc>
      </w:tr>
    </w:tbl>
    <w:p>
      <w:r>
        <w:t>Distributed tracing and logs should correlate tradeId, decisionId, intentId, strategyExecutionId, instrumentId and external execution ID.</w:t>
      </w:r>
    </w:p>
    <w:p>
      <w:pPr>
        <w:pStyle w:val="Heading1"/>
      </w:pPr>
      <w:r>
        <w:t>20. On-Demand AI Trade Explanation</w:t>
      </w:r>
    </w:p>
    <w:p>
      <w:r>
        <w:t>AI is strictly outside the execution path. The trade/position UI may provide an Explain button that assembles an approved explanation context from strategy rule trace, indicators, allocation/risk decision, lifecycle events and relevant market observations.</w:t>
      </w:r>
    </w:p>
    <w:p>
      <w:r>
        <w:t>The request is sent only when the user asks for an explanation. The AI provider and cost pass-through configuration remain configurable. AI output is advisory/explanatory and cannot alter lifecycle state or execution.</w:t>
      </w:r>
    </w:p>
    <w:p>
      <w:pPr>
        <w:pStyle w:val="Heading1"/>
      </w:pPr>
      <w:r>
        <w:t>21. Security</w:t>
      </w:r>
    </w:p>
    <w:p>
      <w:pPr>
        <w:pStyle w:val="ListBullet"/>
      </w:pPr>
      <w:r>
        <w:t>Live execution requires explicit authorization and environment safeguards.</w:t>
      </w:r>
    </w:p>
    <w:p>
      <w:pPr>
        <w:pStyle w:val="ListBullet"/>
      </w:pPr>
      <w:r>
        <w:t>Broker credentials remain inside the integration boundary and are never stored in lifecycle events.</w:t>
      </w:r>
    </w:p>
    <w:p>
      <w:pPr>
        <w:pStyle w:val="ListBullet"/>
      </w:pPr>
      <w:r>
        <w:t>Raw external payload access is restricted and retention controlled.</w:t>
      </w:r>
    </w:p>
    <w:p>
      <w:pPr>
        <w:pStyle w:val="ListBullet"/>
      </w:pPr>
      <w:r>
        <w:t>Lifecycle audit events are append-oriented and protected from unauthorized modification.</w:t>
      </w:r>
    </w:p>
    <w:p>
      <w:pPr>
        <w:pStyle w:val="ListBullet"/>
      </w:pPr>
      <w:r>
        <w:t>Simulation and live modes are visually and operationally distinguishable.</w:t>
      </w:r>
    </w:p>
    <w:p>
      <w:pPr>
        <w:pStyle w:val="Heading1"/>
      </w:pPr>
      <w:r>
        <w:t>22. Testing Strategy</w:t>
      </w:r>
    </w:p>
    <w:p>
      <w:pPr>
        <w:pStyle w:val="ListBullet"/>
      </w:pPr>
      <w:r>
        <w:t>Unit tests for every allowed and forbidden state transition.</w:t>
      </w:r>
    </w:p>
    <w:p>
      <w:pPr>
        <w:pStyle w:val="ListBullet"/>
      </w:pPr>
      <w:r>
        <w:t>Idempotent creation tests under concurrent duplicate delivery.</w:t>
      </w:r>
    </w:p>
    <w:p>
      <w:pPr>
        <w:pStyle w:val="ListBullet"/>
      </w:pPr>
      <w:r>
        <w:t>Partial-fill and weighted-average price tests.</w:t>
      </w:r>
    </w:p>
    <w:p>
      <w:pPr>
        <w:pStyle w:val="ListBullet"/>
      </w:pPr>
      <w:r>
        <w:t>Duplicate and out-of-order execution update tests.</w:t>
      </w:r>
    </w:p>
    <w:p>
      <w:pPr>
        <w:pStyle w:val="ListBullet"/>
      </w:pPr>
      <w:r>
        <w:t>Optimistic-locking or TradeId mailbox concurrency tests.</w:t>
      </w:r>
    </w:p>
    <w:p>
      <w:pPr>
        <w:pStyle w:val="ListBullet"/>
      </w:pPr>
      <w:r>
        <w:t>Crash/restart tests for outbox and submission ambiguity.</w:t>
      </w:r>
    </w:p>
    <w:p>
      <w:pPr>
        <w:pStyle w:val="ListBullet"/>
      </w:pPr>
      <w:r>
        <w:t>Reconciliation tests for broker status divergence.</w:t>
      </w:r>
    </w:p>
    <w:p>
      <w:pPr>
        <w:pStyle w:val="ListBullet"/>
      </w:pPr>
      <w:r>
        <w:t>Entry-to-position-to-partial-exit lifecycle tests.</w:t>
      </w:r>
    </w:p>
    <w:p>
      <w:pPr>
        <w:pStyle w:val="ListBullet"/>
      </w:pPr>
      <w:r>
        <w:t>Simulation adapter tests using deterministic fills.</w:t>
      </w:r>
    </w:p>
    <w:p>
      <w:pPr>
        <w:pStyle w:val="ListBullet"/>
      </w:pPr>
      <w:r>
        <w:t>End-to-end dummy instrument/LTP stream tests from strategy trigger through simulated position closure.</w:t>
      </w:r>
    </w:p>
    <w:p>
      <w:pPr>
        <w:pStyle w:val="ListBullet"/>
      </w:pPr>
      <w:r>
        <w:t>IST display/audit tests while preserving canonical event timestamps.</w:t>
      </w:r>
    </w:p>
    <w:p>
      <w:pPr>
        <w:pStyle w:val="Heading1"/>
      </w:pPr>
      <w:r>
        <w:t>23. Suggested Java Package Structure</w:t>
      </w:r>
    </w:p>
    <w:p>
      <w:r>
        <w:rPr>
          <w:rFonts w:ascii="Consolas" w:hAnsi="Consolas"/>
          <w:sz w:val="16"/>
        </w:rPr>
        <w:t>trade-lifecycle/</w:t>
        <w:br/>
        <w:t xml:space="preserve">  domain/</w:t>
        <w:br/>
        <w:t xml:space="preserve">    Trade.java</w:t>
        <w:br/>
        <w:t xml:space="preserve">    Position.java</w:t>
        <w:br/>
        <w:t xml:space="preserve">    TradeExecution.java</w:t>
        <w:br/>
        <w:t xml:space="preserve">    LifecycleEvent.java</w:t>
        <w:br/>
        <w:t xml:space="preserve">  lifecycle/</w:t>
        <w:br/>
        <w:t xml:space="preserve">    TradeLifecycleManager.java</w:t>
        <w:br/>
        <w:t xml:space="preserve">    TransitionValidator.java</w:t>
        <w:br/>
        <w:t xml:space="preserve">    StateMachine.java</w:t>
        <w:br/>
        <w:t xml:space="preserve">  execution/</w:t>
        <w:br/>
        <w:t xml:space="preserve">    ExecutionRequest.java</w:t>
        <w:br/>
        <w:t xml:space="preserve">    ExecutionUpdate.java</w:t>
        <w:br/>
        <w:t xml:space="preserve">    ExecutionAdapter.java</w:t>
        <w:br/>
        <w:t xml:space="preserve">    SimulationExecutionAdapter.java</w:t>
        <w:br/>
        <w:t xml:space="preserve">    BrokerExecutionAdapter.java</w:t>
        <w:br/>
        <w:t xml:space="preserve">  reconciliation/</w:t>
        <w:br/>
        <w:t xml:space="preserve">  outbox/</w:t>
        <w:br/>
        <w:t xml:space="preserve">  audit/</w:t>
      </w:r>
    </w:p>
    <w:p>
      <w:pPr>
        <w:pStyle w:val="Heading1"/>
      </w:pPr>
      <w:r>
        <w:t>24. Recommended Interfaces</w:t>
      </w:r>
    </w:p>
    <w:p>
      <w:r>
        <w:rPr>
          <w:rFonts w:ascii="Consolas" w:hAnsi="Consolas"/>
          <w:sz w:val="16"/>
        </w:rPr>
        <w:t>public interface TradeLifecycleManager {</w:t>
        <w:br/>
        <w:t xml:space="preserve">    Trade create(AllocationRiskDecision decision, ExecutionMode mode);</w:t>
        <w:br/>
        <w:t xml:space="preserve">    Trade applyExecutionUpdate(ExecutionUpdate update);</w:t>
        <w:br/>
        <w:t xml:space="preserve">    Trade requestExit(TradeExitRequest request);</w:t>
        <w:br/>
        <w:t>}</w:t>
        <w:br/>
        <w:br/>
        <w:t>public interface ExecutionAdapter {</w:t>
        <w:br/>
        <w:t xml:space="preserve">    void submit(ExecutionRequest request);</w:t>
        <w:br/>
        <w:t>}</w:t>
        <w:br/>
        <w:br/>
        <w:t>public interface LifecycleTransitionValidator {</w:t>
        <w:br/>
        <w:t xml:space="preserve">    void validate(TradeStatus current, TradeStatus next);</w:t>
        <w:br/>
        <w:t>}</w:t>
      </w:r>
    </w:p>
    <w:p>
      <w:pPr>
        <w:pStyle w:val="Heading1"/>
      </w:pPr>
      <w:r>
        <w:t>25. Acceptance Criteria</w:t>
      </w:r>
    </w:p>
    <w:p>
      <w:pPr>
        <w:pStyle w:val="ListBullet"/>
      </w:pPr>
      <w:r>
        <w:t>Only approved or resized positive-quantity decisions create trades.</w:t>
      </w:r>
    </w:p>
    <w:p>
      <w:pPr>
        <w:pStyle w:val="ListBullet"/>
      </w:pPr>
      <w:r>
        <w:t>Trade creation is durably idempotent.</w:t>
      </w:r>
    </w:p>
    <w:p>
      <w:pPr>
        <w:pStyle w:val="ListBullet"/>
      </w:pPr>
      <w:r>
        <w:t>Lifecycle transitions are centrally validated and auditable.</w:t>
      </w:r>
    </w:p>
    <w:p>
      <w:pPr>
        <w:pStyle w:val="ListBullet"/>
      </w:pPr>
      <w:r>
        <w:t>Simulation and live execution use the same lifecycle contract.</w:t>
      </w:r>
    </w:p>
    <w:p>
      <w:pPr>
        <w:pStyle w:val="ListBullet"/>
      </w:pPr>
      <w:r>
        <w:t>Execution submission uses reliable outbox delivery.</w:t>
      </w:r>
    </w:p>
    <w:p>
      <w:pPr>
        <w:pStyle w:val="ListBullet"/>
      </w:pPr>
      <w:r>
        <w:t>Partial fills update cumulative quantity correctly without duplication.</w:t>
      </w:r>
    </w:p>
    <w:p>
      <w:pPr>
        <w:pStyle w:val="ListBullet"/>
      </w:pPr>
      <w:r>
        <w:t>Concurrent updates cannot corrupt lifecycle or fill state.</w:t>
      </w:r>
    </w:p>
    <w:p>
      <w:pPr>
        <w:pStyle w:val="ListBullet"/>
      </w:pPr>
      <w:r>
        <w:t>Broker status is normalized behind an execution adapter.</w:t>
      </w:r>
    </w:p>
    <w:p>
      <w:pPr>
        <w:pStyle w:val="ListBullet"/>
      </w:pPr>
      <w:r>
        <w:t>Uncertain external submissions are reconciled rather than guessed.</w:t>
      </w:r>
    </w:p>
    <w:p>
      <w:pPr>
        <w:pStyle w:val="ListBullet"/>
      </w:pPr>
      <w:r>
        <w:t>Entry and exit trades can support partial position closure.</w:t>
      </w:r>
    </w:p>
    <w:p>
      <w:pPr>
        <w:pStyle w:val="ListBullet"/>
      </w:pPr>
      <w:r>
        <w:t>All business-facing trade/execution timestamps support consistent IST presentation.</w:t>
      </w:r>
    </w:p>
    <w:p>
      <w:pPr>
        <w:pStyle w:val="ListBullet"/>
      </w:pPr>
      <w:r>
        <w:t>AI explanation is strictly user-triggered and cannot influence lifecycle state.</w:t>
      </w:r>
    </w:p>
    <w:p>
      <w:pPr>
        <w:pStyle w:val="Heading1"/>
      </w:pPr>
      <w:r>
        <w:t>26.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Relationship</w:t>
            </w:r>
          </w:p>
        </w:tc>
      </w:tr>
      <w:tr>
        <w:tc>
          <w:tcPr>
            <w:tcW w:type="dxa" w:w="5040"/>
          </w:tcPr>
          <w:p>
            <w:r>
              <w:t>07.5 Workflow Engine</w:t>
            </w:r>
          </w:p>
        </w:tc>
        <w:tc>
          <w:tcPr>
            <w:tcW w:type="dxa" w:w="5040"/>
          </w:tcPr>
          <w:p>
            <w:r>
              <w:t>Generates strategy lifecycle transitions/candidate intents</w:t>
            </w:r>
          </w:p>
        </w:tc>
      </w:tr>
      <w:tr>
        <w:tc>
          <w:tcPr>
            <w:tcW w:type="dxa" w:w="5040"/>
          </w:tcPr>
          <w:p>
            <w:r>
              <w:t>07.8 Allocation and Risk Engine</w:t>
            </w:r>
          </w:p>
        </w:tc>
        <w:tc>
          <w:tcPr>
            <w:tcW w:type="dxa" w:w="5040"/>
          </w:tcPr>
          <w:p>
            <w:r>
              <w:t>Supplies approved/resized decisions</w:t>
            </w:r>
          </w:p>
        </w:tc>
      </w:tr>
      <w:tr>
        <w:tc>
          <w:tcPr>
            <w:tcW w:type="dxa" w:w="5040"/>
          </w:tcPr>
          <w:p>
            <w:r>
              <w:t>Broker Integration Architecture</w:t>
            </w:r>
          </w:p>
        </w:tc>
        <w:tc>
          <w:tcPr>
            <w:tcW w:type="dxa" w:w="5040"/>
          </w:tcPr>
          <w:p>
            <w:r>
              <w:t>Implements live execution adapter and reconciliation</w:t>
            </w:r>
          </w:p>
        </w:tc>
      </w:tr>
      <w:tr>
        <w:tc>
          <w:tcPr>
            <w:tcW w:type="dxa" w:w="5040"/>
          </w:tcPr>
          <w:p>
            <w:r>
              <w:t>Portfolio/Position architecture</w:t>
            </w:r>
          </w:p>
        </w:tc>
        <w:tc>
          <w:tcPr>
            <w:tcW w:type="dxa" w:w="5040"/>
          </w:tcPr>
          <w:p>
            <w:r>
              <w:t>Consumes and/or owns normalized position state</w:t>
            </w:r>
          </w:p>
        </w:tc>
      </w:tr>
      <w:tr>
        <w:tc>
          <w:tcPr>
            <w:tcW w:type="dxa" w:w="5040"/>
          </w:tcPr>
          <w:p>
            <w:r>
              <w:t>Observability architecture</w:t>
            </w:r>
          </w:p>
        </w:tc>
        <w:tc>
          <w:tcPr>
            <w:tcW w:type="dxa" w:w="5040"/>
          </w:tcPr>
          <w:p>
            <w:r>
              <w:t>Metrics, logs, traces and alerts</w:t>
            </w:r>
          </w:p>
        </w:tc>
      </w:tr>
      <w:tr>
        <w:tc>
          <w:tcPr>
            <w:tcW w:type="dxa" w:w="5040"/>
          </w:tcPr>
          <w:p>
            <w:r>
              <w:t>Simulation architecture</w:t>
            </w:r>
          </w:p>
        </w:tc>
        <w:tc>
          <w:tcPr>
            <w:tcW w:type="dxa" w:w="5040"/>
          </w:tcPr>
          <w:p>
            <w:r>
              <w:t>Provides deterministic execution adapter</w:t>
            </w:r>
          </w:p>
        </w:tc>
      </w:tr>
    </w:tbl>
    <w:p>
      <w:pPr>
        <w:pStyle w:val="Heading1"/>
      </w:pPr>
      <w:r>
        <w:t>Conclusion</w:t>
      </w:r>
    </w:p>
    <w:p>
      <w:r>
        <w:t>The Trade Lifecycle Manager creates a durable boundary between an approved trading decision and its eventual execution and position outcome. Explicit state transitions, idempotency, reliable outbox delivery, fill normalization and reconciliation make the design resilient to retries, partial fills, external broker ambiguity and service failures. The same lifecycle contract supports the current simulated-trade capability and a future live execution mode without allowing AI explanations or upstream strategy evaluation to interfere with execution correctness.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