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07.5 – Workflow Engine</w:t>
      </w:r>
    </w:p>
    <w:p>
      <w:pPr>
        <w:jc w:val="center"/>
      </w:pPr>
      <w:r>
        <w:rPr>
          <w:b/>
        </w:rPr>
        <w:t>Profit-Bees Strategy Platform | Version 1.0 – Review Draft</w:t>
      </w:r>
    </w:p>
    <w:p>
      <w:r>
        <w:t>Primary architecture decision: Strategy workflow execution uses an Execution Mailbox / Partition Manager to guarantee sequential processing for each StrategyExecution + Instrument while allowing parallel execution across independent keys.</w:t>
      </w:r>
    </w:p>
    <w:p>
      <w:r>
        <w:t>Parent context: 07 Strategy Platform Architecture, 07.1 Strategy Platform Overview, 07.2 Strategy Designer and UI Specification, 07.3 Strategy DSL Specification, and 07.4 Strategy Compiler Design.</w:t>
      </w:r>
    </w:p>
    <w:p>
      <w:pPr>
        <w:pStyle w:val="Heading1"/>
      </w:pPr>
      <w:r>
        <w:t>1. Purpose</w:t>
      </w:r>
    </w:p>
    <w:p>
      <w:r>
        <w:t>The Workflow Engine executes a compiled ExecutablePlan against normalized market observations and the current runtime state. It coordinates deterministic state-machine progression, rule evaluation, action execution, candidate-intent generation, checkpoint boundaries and recovery handoff. It does not receive broker WebSocket traffic directly and does not own durable market observation storage.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 Scope</w:t>
            </w:r>
          </w:p>
        </w:tc>
        <w:tc>
          <w:tcPr>
            <w:tcW w:type="dxa" w:w="5040"/>
          </w:tcPr>
          <w:p>
            <w:r>
              <w:t>Out of Scope</w:t>
            </w:r>
          </w:p>
        </w:tc>
      </w:tr>
      <w:tr>
        <w:tc>
          <w:tcPr>
            <w:tcW w:type="dxa" w:w="5040"/>
          </w:tcPr>
          <w:p>
            <w:r>
              <w:t>Evaluate compiled workflow and transitions</w:t>
            </w:r>
          </w:p>
        </w:tc>
        <w:tc>
          <w:tcPr>
            <w:tcW w:type="dxa" w:w="5040"/>
          </w:tcPr>
          <w:p>
            <w:r>
              <w:t>Broker protocol handling</w:t>
            </w:r>
          </w:p>
        </w:tc>
      </w:tr>
      <w:tr>
        <w:tc>
          <w:tcPr>
            <w:tcW w:type="dxa" w:w="5040"/>
          </w:tcPr>
          <w:p>
            <w:r>
              <w:t>Maintain deterministic state progression</w:t>
            </w:r>
          </w:p>
        </w:tc>
        <w:tc>
          <w:tcPr>
            <w:tcW w:type="dxa" w:w="5040"/>
          </w:tcPr>
          <w:p>
            <w:r>
              <w:t>Tick normalization</w:t>
            </w:r>
          </w:p>
        </w:tc>
      </w:tr>
      <w:tr>
        <w:tc>
          <w:tcPr>
            <w:tcW w:type="dxa" w:w="5040"/>
          </w:tcPr>
          <w:p>
            <w:r>
              <w:t>Execute typed internal actions</w:t>
            </w:r>
          </w:p>
        </w:tc>
        <w:tc>
          <w:tcPr>
            <w:tcW w:type="dxa" w:w="5040"/>
          </w:tcPr>
          <w:p>
            <w:r>
              <w:t>Durable raw/normalized observation ownership</w:t>
            </w:r>
          </w:p>
        </w:tc>
      </w:tr>
      <w:tr>
        <w:tc>
          <w:tcPr>
            <w:tcW w:type="dxa" w:w="5040"/>
          </w:tcPr>
          <w:p>
            <w:r>
              <w:t>Generate candidate trade intents</w:t>
            </w:r>
          </w:p>
        </w:tc>
        <w:tc>
          <w:tcPr>
            <w:tcW w:type="dxa" w:w="5040"/>
          </w:tcPr>
          <w:p>
            <w:r>
              <w:t>Final allocation or risk approval</w:t>
            </w:r>
          </w:p>
        </w:tc>
      </w:tr>
      <w:tr>
        <w:tc>
          <w:tcPr>
            <w:tcW w:type="dxa" w:w="5040"/>
          </w:tcPr>
          <w:p>
            <w:r>
              <w:t>Checkpoint execution progress</w:t>
            </w:r>
          </w:p>
        </w:tc>
        <w:tc>
          <w:tcPr>
            <w:tcW w:type="dxa" w:w="5040"/>
          </w:tcPr>
          <w:p>
            <w:r>
              <w:t>Actual broker order placement</w:t>
            </w:r>
          </w:p>
        </w:tc>
      </w:tr>
      <w:tr>
        <w:tc>
          <w:tcPr>
            <w:tcW w:type="dxa" w:w="5040"/>
          </w:tcPr>
          <w:p>
            <w:r>
              <w:t>Expose execution status and traces</w:t>
            </w:r>
          </w:p>
        </w:tc>
        <w:tc>
          <w:tcPr>
            <w:tcW w:type="dxa" w:w="5040"/>
          </w:tcPr>
          <w:p>
            <w:r>
              <w:t>AI explanation generation itself</w:t>
            </w:r>
          </w:p>
        </w:tc>
      </w:tr>
    </w:tbl>
    <w:p>
      <w:pPr>
        <w:pStyle w:val="Heading1"/>
      </w:pPr>
      <w:r>
        <w:t>2. Core Architecture Decision</w:t>
      </w:r>
    </w:p>
    <w:p>
      <w:r>
        <w:t>The engine SHALL use the following concurrency rule:</w:t>
      </w:r>
    </w:p>
    <w:p>
      <w:r>
        <w:rPr>
          <w:rFonts w:ascii="Consolas" w:hAnsi="Consolas"/>
          <w:sz w:val="17"/>
        </w:rPr>
        <w:t>ONE ACTIVE WORKFLOW EVALUATION PER EvaluationKey</w:t>
        <w:br/>
        <w:t>EvaluationKey = StrategyExecutionId + InstrumentId</w:t>
      </w:r>
    </w:p>
    <w:p>
      <w:r>
        <w:t>Different EvaluationKeys may execute in parallel. Events belonging to the same EvaluationKey are processed sequentially through a mailbox. This prevents concurrent mutation of strategy state while avoiding a global single-threaded bottleneck.</w:t>
      </w:r>
    </w:p>
    <w:p>
      <w:pPr>
        <w:pStyle w:val="Heading1"/>
      </w:pPr>
      <w:r>
        <w:t>3. High-Level Flow</w:t>
      </w:r>
    </w:p>
    <w:p>
      <w:r>
        <w:rPr>
          <w:rFonts w:ascii="Consolas" w:hAnsi="Consolas"/>
          <w:sz w:val="17"/>
        </w:rPr>
        <w:t>Broker WebSocket</w:t>
        <w:br/>
        <w:t xml:space="preserve">      │</w:t>
        <w:br/>
        <w:t xml:space="preserve">      ▼</w:t>
        <w:br/>
        <w:t>Tick Ingestion / Normalization</w:t>
        <w:br/>
        <w:t xml:space="preserve">      │</w:t>
        <w:br/>
        <w:t xml:space="preserve">      ├────────► Durable Normalized Market Observation Store</w:t>
        <w:br/>
        <w:t xml:space="preserve">      │</w:t>
        <w:br/>
        <w:t xml:space="preserve">      ▼</w:t>
        <w:br/>
        <w:t>Evaluation Dispatcher</w:t>
        <w:br/>
        <w:t xml:space="preserve">      │</w:t>
        <w:br/>
        <w:t xml:space="preserve">      ▼</w:t>
        <w:br/>
        <w:t>Execution Mailbox / Partition Manager</w:t>
        <w:br/>
        <w:t xml:space="preserve">      │</w:t>
        <w:br/>
        <w:t xml:space="preserve">      ├── key: Exec-A + RELIANCE ─► Mailbox A ─► Workflow Worker</w:t>
        <w:br/>
        <w:t xml:space="preserve">      ├── key: Exec-A + TCS      ─► Mailbox B ─► Workflow Worker</w:t>
        <w:br/>
        <w:t xml:space="preserve">      └── key: Exec-B + RELIANCE ─► Mailbox C ─► Workflow Worker</w:t>
        <w:br/>
        <w:t xml:space="preserve">                                                    │</w:t>
        <w:br/>
        <w:t xml:space="preserve">                                                    ▼</w:t>
        <w:br/>
        <w:t xml:space="preserve">                                             Candidate Intent</w:t>
      </w:r>
    </w:p>
    <w:p>
      <w:pPr>
        <w:pStyle w:val="Heading1"/>
      </w:pPr>
      <w:r>
        <w:t>4. Responsibilities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Responsibility</w:t>
            </w:r>
          </w:p>
        </w:tc>
      </w:tr>
      <w:tr>
        <w:tc>
          <w:tcPr>
            <w:tcW w:type="dxa" w:w="5040"/>
          </w:tcPr>
          <w:p>
            <w:r>
              <w:t>Evaluation Dispatcher</w:t>
            </w:r>
          </w:p>
        </w:tc>
        <w:tc>
          <w:tcPr>
            <w:tcW w:type="dxa" w:w="5040"/>
          </w:tcPr>
          <w:p>
            <w:r>
              <w:t>Find subscribed strategy executions and submit observations using EvaluationKey</w:t>
            </w:r>
          </w:p>
        </w:tc>
      </w:tr>
      <w:tr>
        <w:tc>
          <w:tcPr>
            <w:tcW w:type="dxa" w:w="5040"/>
          </w:tcPr>
          <w:p>
            <w:r>
              <w:t>Execution Mailbox / Partition Manager</w:t>
            </w:r>
          </w:p>
        </w:tc>
        <w:tc>
          <w:tcPr>
            <w:tcW w:type="dxa" w:w="5040"/>
          </w:tcPr>
          <w:p>
            <w:r>
              <w:t>Own ordered mailbox lifecycle, partition assignment, queue policy, lag metrics and worker scheduling</w:t>
            </w:r>
          </w:p>
        </w:tc>
      </w:tr>
      <w:tr>
        <w:tc>
          <w:tcPr>
            <w:tcW w:type="dxa" w:w="5040"/>
          </w:tcPr>
          <w:p>
            <w:r>
              <w:t>Workflow Engine</w:t>
            </w:r>
          </w:p>
        </w:tc>
        <w:tc>
          <w:tcPr>
            <w:tcW w:type="dxa" w:w="5040"/>
          </w:tcPr>
          <w:p>
            <w:r>
              <w:t>Evaluate ExecutablePlan, transition state and execute compiled actions</w:t>
            </w:r>
          </w:p>
        </w:tc>
      </w:tr>
      <w:tr>
        <w:tc>
          <w:tcPr>
            <w:tcW w:type="dxa" w:w="5040"/>
          </w:tcPr>
          <w:p>
            <w:r>
              <w:t>State Manager</w:t>
            </w:r>
          </w:p>
        </w:tc>
        <w:tc>
          <w:tcPr>
            <w:tcW w:type="dxa" w:w="5040"/>
          </w:tcPr>
          <w:p>
            <w:r>
              <w:t>Load/save execution state and checkpoint</w:t>
            </w:r>
          </w:p>
        </w:tc>
      </w:tr>
      <w:tr>
        <w:tc>
          <w:tcPr>
            <w:tcW w:type="dxa" w:w="5040"/>
          </w:tcPr>
          <w:p>
            <w:r>
              <w:t>Candidate Intent Publisher</w:t>
            </w:r>
          </w:p>
        </w:tc>
        <w:tc>
          <w:tcPr>
            <w:tcW w:type="dxa" w:w="5040"/>
          </w:tcPr>
          <w:p>
            <w:r>
              <w:t>Publish idempotent BUY/SELL candidate intents to downstream allocation/risk</w:t>
            </w:r>
          </w:p>
        </w:tc>
      </w:tr>
      <w:tr>
        <w:tc>
          <w:tcPr>
            <w:tcW w:type="dxa" w:w="5040"/>
          </w:tcPr>
          <w:p>
            <w:r>
              <w:t>Observation Store</w:t>
            </w:r>
          </w:p>
        </w:tc>
        <w:tc>
          <w:tcPr>
            <w:tcW w:type="dxa" w:w="5040"/>
          </w:tcPr>
          <w:p>
            <w:r>
              <w:t>Durably retain normalized observations independent of evaluation outcome</w:t>
            </w:r>
          </w:p>
        </w:tc>
      </w:tr>
    </w:tbl>
    <w:p>
      <w:pPr>
        <w:pStyle w:val="Heading1"/>
      </w:pPr>
      <w:r>
        <w:t>5. EvaluationKey and Ordering</w:t>
      </w:r>
    </w:p>
    <w:p>
      <w:r>
        <w:t>Ordering is guaranteed within a single EvaluationKey, not globally across all instruments or strategies.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Example</w:t>
            </w:r>
          </w:p>
        </w:tc>
        <w:tc>
          <w:tcPr>
            <w:tcW w:type="dxa" w:w="5040"/>
          </w:tcPr>
          <w:p>
            <w:r>
              <w:t>Processing Rule</w:t>
            </w:r>
          </w:p>
        </w:tc>
      </w:tr>
      <w:tr>
        <w:tc>
          <w:tcPr>
            <w:tcW w:type="dxa" w:w="5040"/>
          </w:tcPr>
          <w:p>
            <w:r>
              <w:t>Execution A + RELIANCE</w:t>
            </w:r>
          </w:p>
        </w:tc>
        <w:tc>
          <w:tcPr>
            <w:tcW w:type="dxa" w:w="5040"/>
          </w:tcPr>
          <w:p>
            <w:r>
              <w:t>Sequential</w:t>
            </w:r>
          </w:p>
        </w:tc>
      </w:tr>
      <w:tr>
        <w:tc>
          <w:tcPr>
            <w:tcW w:type="dxa" w:w="5040"/>
          </w:tcPr>
          <w:p>
            <w:r>
              <w:t>Execution A + TCS</w:t>
            </w:r>
          </w:p>
        </w:tc>
        <w:tc>
          <w:tcPr>
            <w:tcW w:type="dxa" w:w="5040"/>
          </w:tcPr>
          <w:p>
            <w:r>
              <w:t>Parallel with RELIANCE</w:t>
            </w:r>
          </w:p>
        </w:tc>
      </w:tr>
      <w:tr>
        <w:tc>
          <w:tcPr>
            <w:tcW w:type="dxa" w:w="5040"/>
          </w:tcPr>
          <w:p>
            <w:r>
              <w:t>Execution B + RELIANCE</w:t>
            </w:r>
          </w:p>
        </w:tc>
        <w:tc>
          <w:tcPr>
            <w:tcW w:type="dxa" w:w="5040"/>
          </w:tcPr>
          <w:p>
            <w:r>
              <w:t>Parallel with Execution A + RELIANCE because runtime state differs</w:t>
            </w:r>
          </w:p>
        </w:tc>
      </w:tr>
      <w:tr>
        <w:tc>
          <w:tcPr>
            <w:tcW w:type="dxa" w:w="5040"/>
          </w:tcPr>
          <w:p>
            <w:r>
              <w:t>All instruments globally</w:t>
            </w:r>
          </w:p>
        </w:tc>
        <w:tc>
          <w:tcPr>
            <w:tcW w:type="dxa" w:w="5040"/>
          </w:tcPr>
          <w:p>
            <w:r>
              <w:t>No global ordering guarantee required</w:t>
            </w:r>
          </w:p>
        </w:tc>
      </w:tr>
    </w:tbl>
    <w:p>
      <w:r>
        <w:t>A normalized observation carries broker/source event time, platform receive time, sequence or ordering metadata when available, instrument identity and data-quality information. Event ordering decisions are based on the configured source ordering contract; timestamps are retained for audit and presentation requirements, including IST display requirements defined elsewhere.</w:t>
      </w:r>
    </w:p>
    <w:p>
      <w:pPr>
        <w:pStyle w:val="Heading1"/>
      </w:pPr>
      <w:r>
        <w:t>6. Execution Mailbox / Partition Manager</w:t>
      </w:r>
    </w:p>
    <w:p>
      <w:r>
        <w:t>The mailbox manager is the primary protection against overlapping evaluations for the same mutable execution state.</w:t>
      </w:r>
    </w:p>
    <w:p>
      <w:r>
        <w:rPr>
          <w:rFonts w:ascii="Consolas" w:hAnsi="Consolas"/>
          <w:sz w:val="17"/>
        </w:rPr>
        <w:t>submit(EvaluationKey, Observation)</w:t>
        <w:br/>
        <w:t xml:space="preserve">          │</w:t>
        <w:br/>
        <w:t xml:space="preserve">          ▼</w:t>
        <w:br/>
        <w:t>hash(EvaluationKey)</w:t>
        <w:br/>
        <w:t xml:space="preserve">          │</w:t>
        <w:br/>
        <w:t xml:space="preserve">          ▼</w:t>
        <w:br/>
        <w:t>Partition N</w:t>
        <w:br/>
        <w:t xml:space="preserve">          │</w:t>
        <w:br/>
        <w:t xml:space="preserve">          ▼</w:t>
        <w:br/>
        <w:t>Mailbox for EvaluationKey</w:t>
        <w:br/>
        <w:t xml:space="preserve">          │</w:t>
        <w:br/>
        <w:t xml:space="preserve">          ▼</w:t>
        <w:br/>
        <w:t>Single active drain loop</w:t>
        <w:br/>
        <w:t xml:space="preserve">          │</w:t>
        <w:br/>
        <w:t xml:space="preserve">          ├── evaluate observation</w:t>
        <w:br/>
        <w:t xml:space="preserve">          ├── apply state changes</w:t>
        <w:br/>
        <w:t xml:space="preserve">          ├── persist/checkpoint as required</w:t>
        <w:br/>
        <w:t xml:space="preserve">          └── process next observation</w:t>
      </w:r>
    </w:p>
    <w:p>
      <w:pPr>
        <w:pStyle w:val="ListBullet"/>
      </w:pPr>
      <w:r>
        <w:t>Only one drain operation may be active for a mailbox at a time.</w:t>
      </w:r>
    </w:p>
    <w:p>
      <w:pPr>
        <w:pStyle w:val="ListBullet"/>
      </w:pPr>
      <w:r>
        <w:t>Mailbox order follows accepted observation ordering after validation and policy processing.</w:t>
      </w:r>
    </w:p>
    <w:p>
      <w:pPr>
        <w:pStyle w:val="ListBullet"/>
      </w:pPr>
      <w:r>
        <w:t>Partitioning is an execution and scalability mechanism; it must not alter same-key ordering.</w:t>
      </w:r>
    </w:p>
    <w:p>
      <w:pPr>
        <w:pStyle w:val="ListBullet"/>
      </w:pPr>
      <w:r>
        <w:t>Idle mailboxes may be evicted after state is safely checkpointed.</w:t>
      </w:r>
    </w:p>
    <w:p>
      <w:pPr>
        <w:pStyle w:val="ListBullet"/>
      </w:pPr>
      <w:r>
        <w:t>Worker threads are not permanently dedicated to individual instruments; partitions schedule work onto a bounded worker pool.</w:t>
      </w:r>
    </w:p>
    <w:p>
      <w:pPr>
        <w:pStyle w:val="Heading1"/>
      </w:pPr>
      <w:r>
        <w:t>7. Workflow Evaluation Algorithm</w:t>
      </w:r>
    </w:p>
    <w:p>
      <w:r>
        <w:rPr>
          <w:rFonts w:ascii="Consolas" w:hAnsi="Consolas"/>
          <w:sz w:val="17"/>
        </w:rPr>
        <w:t>onObservation(key, observation):</w:t>
        <w:br/>
        <w:t xml:space="preserve">    state = stateManager.loadOrGetCached(key)</w:t>
        <w:br/>
        <w:t xml:space="preserve">    plan  = planProvider.get(state.strategyId, state.strategyVersion)</w:t>
        <w:br/>
        <w:br/>
        <w:t xml:space="preserve">    if !state.isActive():</w:t>
        <w:br/>
        <w:t xml:space="preserve">        return</w:t>
        <w:br/>
        <w:br/>
        <w:t xml:space="preserve">    result = evaluator.evaluate(plan, state, observation)</w:t>
        <w:br/>
        <w:br/>
        <w:t xml:space="preserve">    if result.hasTransition():</w:t>
        <w:br/>
        <w:t xml:space="preserve">        state = transitionApplier.apply(state, result.transition)</w:t>
        <w:br/>
        <w:br/>
        <w:t xml:space="preserve">    actionResults = actionExecutor.execute(</w:t>
        <w:br/>
        <w:t xml:space="preserve">        plan, state, observation, result</w:t>
        <w:br/>
        <w:t xml:space="preserve">    )</w:t>
        <w:br/>
        <w:br/>
        <w:t xml:space="preserve">    if actionResults.hasCandidateIntent():</w:t>
        <w:br/>
        <w:t xml:space="preserve">        candidatePublisher.publishIdempotently(</w:t>
        <w:br/>
        <w:t xml:space="preserve">            actionResults.candidateIntent</w:t>
        <w:br/>
        <w:t xml:space="preserve">        )</w:t>
        <w:br/>
        <w:br/>
        <w:t xml:space="preserve">    checkpointManager.recordProgress(</w:t>
        <w:br/>
        <w:t xml:space="preserve">        key, observation, state, result</w:t>
        <w:br/>
        <w:t xml:space="preserve">    )</w:t>
      </w:r>
    </w:p>
    <w:p>
      <w:r>
        <w:t>The actual persistence cadence may be configurable, but recovery semantics must always identify the last safely processed observation and state checkpoint.</w:t>
      </w:r>
    </w:p>
    <w:p>
      <w:pPr>
        <w:pStyle w:val="Heading1"/>
      </w:pPr>
      <w:r>
        <w:t>8. Multiple Ticks During Evaluation</w:t>
      </w:r>
    </w:p>
    <w:p>
      <w:r>
        <w:t>If evaluation of observation O1 is running and O2, O3 and O4 arrive for the same key, they are accepted by the mailbox manager according to the execution policy. They do not concurrently enter the Workflow Engine for that key.</w:t>
      </w:r>
    </w:p>
    <w:p>
      <w:r>
        <w:rPr>
          <w:rFonts w:ascii="Consolas" w:hAnsi="Consolas"/>
          <w:sz w:val="17"/>
        </w:rPr>
        <w:t>Time ───────────────────────────────────────────────►</w:t>
        <w:br/>
        <w:br/>
        <w:t>O1 arrives → [Evaluate O1................]</w:t>
        <w:br/>
        <w:t>O2 arrives → [Mailbox: O2]</w:t>
        <w:br/>
        <w:t>O3 arrives → [Mailbox: O2, O3]</w:t>
        <w:br/>
        <w:t>O4 arrives → [Mailbox: O2, O3, O4]</w:t>
        <w:br/>
        <w:br/>
        <w:t>O1 complete → Evaluate O2 → Evaluate O3 → Evaluate O4</w:t>
      </w:r>
    </w:p>
    <w:p>
      <w:r>
        <w:t>This is the default semantic model for tick-sensitive strategies.</w:t>
      </w:r>
    </w:p>
    <w:p>
      <w:pPr>
        <w:pStyle w:val="Heading1"/>
      </w:pPr>
      <w:r>
        <w:t>9. Evaluation Policies and Backpressure</w:t>
      </w:r>
    </w:p>
    <w:p>
      <w:r>
        <w:t>Different strategies may have different semantic requirements. The policy is explicit and versioned with execution configuration; silent dropping is prohibited.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Policy</w:t>
            </w:r>
          </w:p>
        </w:tc>
        <w:tc>
          <w:tcPr>
            <w:tcW w:type="dxa" w:w="3360"/>
          </w:tcPr>
          <w:p>
            <w:r>
              <w:t>Behavior</w:t>
            </w:r>
          </w:p>
        </w:tc>
        <w:tc>
          <w:tcPr>
            <w:tcW w:type="dxa" w:w="3360"/>
          </w:tcPr>
          <w:p>
            <w:r>
              <w:t>Suitable Use</w:t>
            </w:r>
          </w:p>
        </w:tc>
      </w:tr>
      <w:tr>
        <w:tc>
          <w:tcPr>
            <w:tcW w:type="dxa" w:w="3360"/>
          </w:tcPr>
          <w:p>
            <w:r>
              <w:t>EVERY_TICK</w:t>
            </w:r>
          </w:p>
        </w:tc>
        <w:tc>
          <w:tcPr>
            <w:tcW w:type="dxa" w:w="3360"/>
          </w:tcPr>
          <w:p>
            <w:r>
              <w:t>Each accepted observation is evaluated in order</w:t>
            </w:r>
          </w:p>
        </w:tc>
        <w:tc>
          <w:tcPr>
            <w:tcW w:type="dxa" w:w="3360"/>
          </w:tcPr>
          <w:p>
            <w:r>
              <w:t>Exact tick-sensitive logic</w:t>
            </w:r>
          </w:p>
        </w:tc>
      </w:tr>
      <w:tr>
        <w:tc>
          <w:tcPr>
            <w:tcW w:type="dxa" w:w="3360"/>
          </w:tcPr>
          <w:p>
            <w:r>
              <w:t>LATEST_ONLY</w:t>
            </w:r>
          </w:p>
        </w:tc>
        <w:tc>
          <w:tcPr>
            <w:tcW w:type="dxa" w:w="3360"/>
          </w:tcPr>
          <w:p>
            <w:r>
              <w:t>Replace pending work with latest observation where semantics permit</w:t>
            </w:r>
          </w:p>
        </w:tc>
        <w:tc>
          <w:tcPr>
            <w:tcW w:type="dxa" w:w="3360"/>
          </w:tcPr>
          <w:p>
            <w:r>
              <w:t>Simple threshold checks</w:t>
            </w:r>
          </w:p>
        </w:tc>
      </w:tr>
      <w:tr>
        <w:tc>
          <w:tcPr>
            <w:tcW w:type="dxa" w:w="3360"/>
          </w:tcPr>
          <w:p>
            <w:r>
              <w:t>COALESCE_WINDOW</w:t>
            </w:r>
          </w:p>
        </w:tc>
        <w:tc>
          <w:tcPr>
            <w:tcW w:type="dxa" w:w="3360"/>
          </w:tcPr>
          <w:p>
            <w:r>
              <w:t>Merge pending observations into a strategy-aware summary</w:t>
            </w:r>
          </w:p>
        </w:tc>
        <w:tc>
          <w:tcPr>
            <w:tcW w:type="dxa" w:w="3360"/>
          </w:tcPr>
          <w:p>
            <w:r>
              <w:t>Low/high tracking or bounded windows</w:t>
            </w:r>
          </w:p>
        </w:tc>
      </w:tr>
      <w:tr>
        <w:tc>
          <w:tcPr>
            <w:tcW w:type="dxa" w:w="3360"/>
          </w:tcPr>
          <w:p>
            <w:r>
              <w:t>TIME_WINDOW</w:t>
            </w:r>
          </w:p>
        </w:tc>
        <w:tc>
          <w:tcPr>
            <w:tcW w:type="dxa" w:w="3360"/>
          </w:tcPr>
          <w:p>
            <w:r>
              <w:t>Evaluate at configured time boundaries</w:t>
            </w:r>
          </w:p>
        </w:tc>
        <w:tc>
          <w:tcPr>
            <w:tcW w:type="dxa" w:w="3360"/>
          </w:tcPr>
          <w:p>
            <w:r>
              <w:t>Interval strategies</w:t>
            </w:r>
          </w:p>
        </w:tc>
      </w:tr>
      <w:tr>
        <w:tc>
          <w:tcPr>
            <w:tcW w:type="dxa" w:w="3360"/>
          </w:tcPr>
          <w:p>
            <w:r>
              <w:t>PAUSE_ON_LAG</w:t>
            </w:r>
          </w:p>
        </w:tc>
        <w:tc>
          <w:tcPr>
            <w:tcW w:type="dxa" w:w="3360"/>
          </w:tcPr>
          <w:p>
            <w:r>
              <w:t>Stop accepting new workflow work after critical lag</w:t>
            </w:r>
          </w:p>
        </w:tc>
        <w:tc>
          <w:tcPr>
            <w:tcW w:type="dxa" w:w="3360"/>
          </w:tcPr>
          <w:p>
            <w:r>
              <w:t>Safety-first execution</w:t>
            </w:r>
          </w:p>
        </w:tc>
      </w:tr>
    </w:tbl>
    <w:p>
      <w:r>
        <w:t>COALESCE_WINDOW must preserve information required by strategy semantics. For a buy-low strategy, retaining only the latest LTP is insufficient if an intermediate minimum changes the low-watermark. A coalesced summary may include firstLTP, minLTP, maxLTP, lastLTP, count and ordering boundaries.</w:t>
      </w:r>
    </w:p>
    <w:p>
      <w:pPr>
        <w:pStyle w:val="Heading1"/>
      </w:pPr>
      <w:r>
        <w:t>10. Overflow Rules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Condition</w:t>
            </w:r>
          </w:p>
        </w:tc>
        <w:tc>
          <w:tcPr>
            <w:tcW w:type="dxa" w:w="5040"/>
          </w:tcPr>
          <w:p>
            <w:r>
              <w:t>Default Action</w:t>
            </w:r>
          </w:p>
        </w:tc>
      </w:tr>
      <w:tr>
        <w:tc>
          <w:tcPr>
            <w:tcW w:type="dxa" w:w="5040"/>
          </w:tcPr>
          <w:p>
            <w:r>
              <w:t>Mailbox under warning threshold</w:t>
            </w:r>
          </w:p>
        </w:tc>
        <w:tc>
          <w:tcPr>
            <w:tcW w:type="dxa" w:w="5040"/>
          </w:tcPr>
          <w:p>
            <w:r>
              <w:t>Continue and record metrics</w:t>
            </w:r>
          </w:p>
        </w:tc>
      </w:tr>
      <w:tr>
        <w:tc>
          <w:tcPr>
            <w:tcW w:type="dxa" w:w="5040"/>
          </w:tcPr>
          <w:p>
            <w:r>
              <w:t>Warning lag exceeded</w:t>
            </w:r>
          </w:p>
        </w:tc>
        <w:tc>
          <w:tcPr>
            <w:tcW w:type="dxa" w:w="5040"/>
          </w:tcPr>
          <w:p>
            <w:r>
              <w:t>Execution marked DEGRADED; alert/monitoring event</w:t>
            </w:r>
          </w:p>
        </w:tc>
      </w:tr>
      <w:tr>
        <w:tc>
          <w:tcPr>
            <w:tcW w:type="dxa" w:w="5040"/>
          </w:tcPr>
          <w:p>
            <w:r>
              <w:t>Critical lag exceeded</w:t>
            </w:r>
          </w:p>
        </w:tc>
        <w:tc>
          <w:tcPr>
            <w:tcW w:type="dxa" w:w="5040"/>
          </w:tcPr>
          <w:p>
            <w:r>
              <w:t>Apply configured policy, normally PAUSE_ON_LAG for safety-sensitive strategies</w:t>
            </w:r>
          </w:p>
        </w:tc>
      </w:tr>
      <w:tr>
        <w:tc>
          <w:tcPr>
            <w:tcW w:type="dxa" w:w="5040"/>
          </w:tcPr>
          <w:p>
            <w:r>
              <w:t>Unsupported coalescing policy</w:t>
            </w:r>
          </w:p>
        </w:tc>
        <w:tc>
          <w:tcPr>
            <w:tcW w:type="dxa" w:w="5040"/>
          </w:tcPr>
          <w:p>
            <w:r>
              <w:t>Reject activation</w:t>
            </w:r>
          </w:p>
        </w:tc>
      </w:tr>
      <w:tr>
        <w:tc>
          <w:tcPr>
            <w:tcW w:type="dxa" w:w="5040"/>
          </w:tcPr>
          <w:p>
            <w:r>
              <w:t>Hard capacity breach</w:t>
            </w:r>
          </w:p>
        </w:tc>
        <w:tc>
          <w:tcPr>
            <w:tcW w:type="dxa" w:w="5040"/>
          </w:tcPr>
          <w:p>
            <w:r>
              <w:t>Do not silently discard; pause/fail according to configured safety policy and retain durable recovery path</w:t>
            </w:r>
          </w:p>
        </w:tc>
      </w:tr>
    </w:tbl>
    <w:p>
      <w:r>
        <w:t>DROP_OLDEST and DROP_NEWEST are not recommended defaults for trading workflows because they can change deterministic strategy outcomes.</w:t>
      </w:r>
    </w:p>
    <w:p>
      <w:pPr>
        <w:pStyle w:val="Heading1"/>
      </w:pPr>
      <w:r>
        <w:t>11. State Model</w:t>
      </w:r>
    </w:p>
    <w:p>
      <w:r>
        <w:rPr>
          <w:rFonts w:ascii="Consolas" w:hAnsi="Consolas"/>
          <w:sz w:val="17"/>
        </w:rPr>
        <w:t>ExecutionState</w:t>
        <w:br/>
        <w:t xml:space="preserve"> ├── strategyExecutionId</w:t>
        <w:br/>
        <w:t xml:space="preserve"> ├── strategyId</w:t>
        <w:br/>
        <w:t xml:space="preserve"> ├── strategyVersion</w:t>
        <w:br/>
        <w:t xml:space="preserve"> ├── currentWorkflowState</w:t>
        <w:br/>
        <w:t xml:space="preserve"> ├── stateVariables</w:t>
        <w:br/>
        <w:t xml:space="preserve"> │     └── lowWatermark / highWatermark / counters / timers</w:t>
        <w:br/>
        <w:t xml:space="preserve"> ├── lastProcessedObservationId</w:t>
        <w:br/>
        <w:t xml:space="preserve"> ├── lastProcessedSourceSequence</w:t>
        <w:br/>
        <w:t xml:space="preserve"> ├── status</w:t>
        <w:br/>
        <w:t xml:space="preserve"> └── stateVersion</w:t>
      </w:r>
    </w:p>
    <w:p>
      <w:r>
        <w:t>StateVersion supports optimistic consistency checks where persistence boundaries require them. The mailbox model remains the primary same-key concurrency control.</w:t>
      </w:r>
    </w:p>
    <w:p>
      <w:pPr>
        <w:pStyle w:val="Heading1"/>
      </w:pPr>
      <w:r>
        <w:t>12. State Transitions</w:t>
      </w:r>
    </w:p>
    <w:p>
      <w:r>
        <w:t>The Workflow Engine consumes transition definitions compiled by 07.4. For each observation it evaluates eligible transitions from the current state in deterministic priority order. The first valid transition according to DSL semantics is applied, unless the DSL explicitly supports multi-transition behavior.</w:t>
      </w:r>
    </w:p>
    <w:p>
      <w:r>
        <w:rPr>
          <w:rFonts w:ascii="Consolas" w:hAnsi="Consolas"/>
          <w:sz w:val="17"/>
        </w:rPr>
        <w:t>TRACK_LOW</w:t>
        <w:br/>
        <w:t xml:space="preserve">   │</w:t>
        <w:br/>
        <w:t xml:space="preserve">   ├── LTP lowers watermark ───────────────► TRACK_LOW</w:t>
        <w:br/>
        <w:t xml:space="preserve">   │</w:t>
        <w:br/>
        <w:t xml:space="preserve">   └── reversalConfirmed</w:t>
        <w:br/>
        <w:t xml:space="preserve">           │</w:t>
        <w:br/>
        <w:t xml:space="preserve">           ▼</w:t>
        <w:br/>
        <w:t xml:space="preserve">      BUY_CANDIDATE</w:t>
        <w:br/>
        <w:t xml:space="preserve">           │</w:t>
        <w:br/>
        <w:t xml:space="preserve">           ▼</w:t>
        <w:br/>
        <w:t xml:space="preserve">     CandidateIntent(BUY)</w:t>
      </w:r>
    </w:p>
    <w:p>
      <w:pPr>
        <w:pStyle w:val="Heading1"/>
      </w:pPr>
      <w:r>
        <w:t>13. Candidate Intent Boundary</w:t>
      </w:r>
    </w:p>
    <w:p>
      <w:r>
        <w:t>The Workflow Engine generates a candidate, not an executed trade. A candidate intent must carry sufficient idempotency and audit metadata.</w:t>
      </w:r>
    </w:p>
    <w:p>
      <w:r>
        <w:rPr>
          <w:rFonts w:ascii="Consolas" w:hAnsi="Consolas"/>
          <w:sz w:val="17"/>
        </w:rPr>
        <w:t>CandidateIntent</w:t>
        <w:br/>
        <w:t>{</w:t>
        <w:br/>
        <w:t xml:space="preserve">  intentId,</w:t>
        <w:br/>
        <w:t xml:space="preserve">  idempotencyKey,</w:t>
        <w:br/>
        <w:t xml:space="preserve">  strategyExecutionId,</w:t>
        <w:br/>
        <w:t xml:space="preserve">  strategyId,</w:t>
        <w:br/>
        <w:t xml:space="preserve">  strategyVersion,</w:t>
        <w:br/>
        <w:t xml:space="preserve">  instrumentId,</w:t>
        <w:br/>
        <w:t xml:space="preserve">  side,</w:t>
        <w:br/>
        <w:t xml:space="preserve">  triggeringObservationId,</w:t>
        <w:br/>
        <w:t xml:space="preserve">  triggeringEventTime,</w:t>
        <w:br/>
        <w:t xml:space="preserve">  stateTransitionId,</w:t>
        <w:br/>
        <w:t xml:space="preserve">  planFingerprint</w:t>
        <w:br/>
        <w:t>}</w:t>
      </w:r>
    </w:p>
    <w:p>
      <w:r>
        <w:t>Downstream allocation, risk and execution services remain responsible for deciding whether a candidate becomes a probable trade, simulated trade or broker order.</w:t>
      </w:r>
    </w:p>
    <w:p>
      <w:pPr>
        <w:pStyle w:val="Heading1"/>
      </w:pPr>
      <w:r>
        <w:t>14. Idempotency</w:t>
      </w:r>
    </w:p>
    <w:p>
      <w:r>
        <w:t>At-least-once delivery from queues or recovery replay must not create duplicate candidate intents.</w:t>
      </w:r>
    </w:p>
    <w:p>
      <w:pPr>
        <w:pStyle w:val="ListBullet"/>
      </w:pPr>
      <w:r>
        <w:t>Use deterministic idempotency keys derived from strategy execution, triggering observation, transition/action identity and plan/version context.</w:t>
      </w:r>
    </w:p>
    <w:p>
      <w:pPr>
        <w:pStyle w:val="ListBullet"/>
      </w:pPr>
      <w:r>
        <w:t>Persist or durably register intent emission before acknowledging processing when the selected transaction/outbox design requires it.</w:t>
      </w:r>
    </w:p>
    <w:p>
      <w:pPr>
        <w:pStyle w:val="ListBullet"/>
      </w:pPr>
      <w:r>
        <w:t>Downstream consumers must also enforce idempotency.</w:t>
      </w:r>
    </w:p>
    <w:p>
      <w:pPr>
        <w:pStyle w:val="ListBullet"/>
      </w:pPr>
      <w:r>
        <w:t>Replaying an already processed observation may repeat evaluation internally only if externally visible side effects remain idempotent.</w:t>
      </w:r>
    </w:p>
    <w:p>
      <w:pPr>
        <w:pStyle w:val="Heading1"/>
      </w:pPr>
      <w:r>
        <w:t>15. Checkpoint and Recovery</w:t>
      </w:r>
    </w:p>
    <w:p>
      <w:r>
        <w:rPr>
          <w:rFonts w:ascii="Consolas" w:hAnsi="Consolas"/>
          <w:sz w:val="17"/>
        </w:rPr>
        <w:t>Normal:</w:t>
        <w:br/>
        <w:t>Observation → Evaluate → State update → Candidate intent → Checkpoint</w:t>
        <w:br/>
        <w:br/>
        <w:t>Crash:</w:t>
        <w:br/>
        <w:t>Restart</w:t>
        <w:br/>
        <w:t xml:space="preserve">  │</w:t>
        <w:br/>
        <w:t xml:space="preserve">  ├── Load latest durable ExecutionState</w:t>
        <w:br/>
        <w:t xml:space="preserve">  ├── Read lastProcessedObservationId/sequence</w:t>
        <w:br/>
        <w:t xml:space="preserve">  ├── Recover observations after checkpoint</w:t>
        <w:br/>
        <w:t xml:space="preserve">  ├── Replay through same ExecutablePlan</w:t>
        <w:br/>
        <w:t xml:space="preserve">  └── Resume live mailbox processing</w:t>
      </w:r>
    </w:p>
    <w:p>
      <w:r>
        <w:t>Normalized observations are retained independently of whether they generated a candidate trade. This is essential for replay, debugging, strategy analysis and recovery.</w:t>
      </w:r>
    </w:p>
    <w:p>
      <w:pPr>
        <w:pStyle w:val="Heading1"/>
      </w:pPr>
      <w:r>
        <w:t>16. Mailbox Persistence Strategy</w:t>
      </w:r>
    </w:p>
    <w:p>
      <w:r>
        <w:t>The first implementation may use a durable stream for ingestion and in-memory per-key mailboxes for active dispatch, provided restart recovery is derived from the durable observation stream/store and checkpoints. The mailbox itself is an execution structure, not the sole system of record.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Recommended Role</w:t>
            </w:r>
          </w:p>
        </w:tc>
      </w:tr>
      <w:tr>
        <w:tc>
          <w:tcPr>
            <w:tcW w:type="dxa" w:w="5040"/>
          </w:tcPr>
          <w:p>
            <w:r>
              <w:t>Durable normalized observation storage</w:t>
            </w:r>
          </w:p>
        </w:tc>
        <w:tc>
          <w:tcPr>
            <w:tcW w:type="dxa" w:w="5040"/>
          </w:tcPr>
          <w:p>
            <w:r>
              <w:t>Historical truth, replay and audit</w:t>
            </w:r>
          </w:p>
        </w:tc>
      </w:tr>
      <w:tr>
        <w:tc>
          <w:tcPr>
            <w:tcW w:type="dxa" w:w="5040"/>
          </w:tcPr>
          <w:p>
            <w:r>
              <w:t>Durable event stream</w:t>
            </w:r>
          </w:p>
        </w:tc>
        <w:tc>
          <w:tcPr>
            <w:tcW w:type="dxa" w:w="5040"/>
          </w:tcPr>
          <w:p>
            <w:r>
              <w:t>Delivery, consumer progress and recovery</w:t>
            </w:r>
          </w:p>
        </w:tc>
      </w:tr>
      <w:tr>
        <w:tc>
          <w:tcPr>
            <w:tcW w:type="dxa" w:w="5040"/>
          </w:tcPr>
          <w:p>
            <w:r>
              <w:t>Execution mailbox</w:t>
            </w:r>
          </w:p>
        </w:tc>
        <w:tc>
          <w:tcPr>
            <w:tcW w:type="dxa" w:w="5040"/>
          </w:tcPr>
          <w:p>
            <w:r>
              <w:t>Ordered same-key work scheduling</w:t>
            </w:r>
          </w:p>
        </w:tc>
      </w:tr>
      <w:tr>
        <w:tc>
          <w:tcPr>
            <w:tcW w:type="dxa" w:w="5040"/>
          </w:tcPr>
          <w:p>
            <w:r>
              <w:t>Execution state store</w:t>
            </w:r>
          </w:p>
        </w:tc>
        <w:tc>
          <w:tcPr>
            <w:tcW w:type="dxa" w:w="5040"/>
          </w:tcPr>
          <w:p>
            <w:r>
              <w:t>Current/checkpointed workflow state</w:t>
            </w:r>
          </w:p>
        </w:tc>
      </w:tr>
      <w:tr>
        <w:tc>
          <w:tcPr>
            <w:tcW w:type="dxa" w:w="5040"/>
          </w:tcPr>
          <w:p>
            <w:r>
              <w:t>Candidate intent store/outbox</w:t>
            </w:r>
          </w:p>
        </w:tc>
        <w:tc>
          <w:tcPr>
            <w:tcW w:type="dxa" w:w="5040"/>
          </w:tcPr>
          <w:p>
            <w:r>
              <w:t>Reliable downstream handoff</w:t>
            </w:r>
          </w:p>
        </w:tc>
      </w:tr>
    </w:tbl>
    <w:p>
      <w:pPr>
        <w:pStyle w:val="Heading1"/>
      </w:pPr>
      <w:r>
        <w:t>17. Partitioning and Scaling</w:t>
      </w:r>
    </w:p>
    <w:p>
      <w:r>
        <w:t>EvaluationKeys are deterministically assigned to partitions. A bounded pool processes partitions, preserving one active evaluation per mailbox.</w:t>
      </w:r>
    </w:p>
    <w:p>
      <w:r>
        <w:rPr>
          <w:rFonts w:ascii="Consolas" w:hAnsi="Consolas"/>
          <w:sz w:val="17"/>
        </w:rPr>
        <w:t>partition = stableHash(strategyExecutionId + instrumentId) % partitionCount</w:t>
      </w:r>
    </w:p>
    <w:p>
      <w:pPr>
        <w:pStyle w:val="ListBullet"/>
      </w:pPr>
      <w:r>
        <w:t>Increasing worker capacity improves parallelism across keys, not concurrency within a key.</w:t>
      </w:r>
    </w:p>
    <w:p>
      <w:pPr>
        <w:pStyle w:val="ListBullet"/>
      </w:pPr>
      <w:r>
        <w:t>Partition reassignment must drain or fence existing ownership to prevent two active consumers for the same key.</w:t>
      </w:r>
    </w:p>
    <w:p>
      <w:pPr>
        <w:pStyle w:val="ListBullet"/>
      </w:pPr>
      <w:r>
        <w:t>Cloud Run scaling must preserve the same-key ownership contract through the selected distributed stream/consumer coordination design.</w:t>
      </w:r>
    </w:p>
    <w:p>
      <w:pPr>
        <w:pStyle w:val="ListBullet"/>
      </w:pPr>
      <w:r>
        <w:t>Hot keys are observable through queue depth and oldest-event age metrics.</w:t>
      </w:r>
    </w:p>
    <w:p>
      <w:pPr>
        <w:pStyle w:val="Heading1"/>
      </w:pPr>
      <w:r>
        <w:t>18. Status State Machine</w:t>
      </w:r>
    </w:p>
    <w:p>
      <w:r>
        <w:rPr>
          <w:rFonts w:ascii="Consolas" w:hAnsi="Consolas"/>
          <w:sz w:val="17"/>
        </w:rPr>
        <w:t>CREATED → STARTING → ACTIVE</w:t>
        <w:br/>
        <w:t xml:space="preserve">                     │</w:t>
        <w:br/>
        <w:t xml:space="preserve">                     ├── warning lag ─► DEGRADED ─► ACTIVE</w:t>
        <w:br/>
        <w:t xml:space="preserve">                     │</w:t>
        <w:br/>
        <w:t xml:space="preserve">                     ├── critical lag ─► PAUSED</w:t>
        <w:br/>
        <w:t xml:space="preserve">                     │</w:t>
        <w:br/>
        <w:t xml:space="preserve">                     ├── processing fault ─► ERROR</w:t>
        <w:br/>
        <w:t xml:space="preserve">                     │</w:t>
        <w:br/>
        <w:t xml:space="preserve">                     └── user/system stop ─► STOPPED</w:t>
      </w:r>
    </w:p>
    <w:p>
      <w:r>
        <w:t>Status changes are observable through the Strategy Execution Monitor and are separate from the business strategy state machine.</w:t>
      </w:r>
    </w:p>
    <w:p>
      <w:pPr>
        <w:pStyle w:val="Heading1"/>
      </w:pPr>
      <w:r>
        <w:t>19. Observability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Signal</w:t>
            </w:r>
          </w:p>
        </w:tc>
        <w:tc>
          <w:tcPr>
            <w:tcW w:type="dxa" w:w="5040"/>
          </w:tcPr>
          <w:p>
            <w:r>
              <w:t>Purpose</w:t>
            </w:r>
          </w:p>
        </w:tc>
      </w:tr>
      <w:tr>
        <w:tc>
          <w:tcPr>
            <w:tcW w:type="dxa" w:w="5040"/>
          </w:tcPr>
          <w:p>
            <w:r>
              <w:t>mailbox_depth</w:t>
            </w:r>
          </w:p>
        </w:tc>
        <w:tc>
          <w:tcPr>
            <w:tcW w:type="dxa" w:w="5040"/>
          </w:tcPr>
          <w:p>
            <w:r>
              <w:t>Pending same-key observations</w:t>
            </w:r>
          </w:p>
        </w:tc>
      </w:tr>
      <w:tr>
        <w:tc>
          <w:tcPr>
            <w:tcW w:type="dxa" w:w="5040"/>
          </w:tcPr>
          <w:p>
            <w:r>
              <w:t>mailbox_oldest_event_age</w:t>
            </w:r>
          </w:p>
        </w:tc>
        <w:tc>
          <w:tcPr>
            <w:tcW w:type="dxa" w:w="5040"/>
          </w:tcPr>
          <w:p>
            <w:r>
              <w:t>End-to-end evaluation lag</w:t>
            </w:r>
          </w:p>
        </w:tc>
      </w:tr>
      <w:tr>
        <w:tc>
          <w:tcPr>
            <w:tcW w:type="dxa" w:w="5040"/>
          </w:tcPr>
          <w:p>
            <w:r>
              <w:t>evaluation_duration</w:t>
            </w:r>
          </w:p>
        </w:tc>
        <w:tc>
          <w:tcPr>
            <w:tcW w:type="dxa" w:w="5040"/>
          </w:tcPr>
          <w:p>
            <w:r>
              <w:t>Rule/workflow processing latency</w:t>
            </w:r>
          </w:p>
        </w:tc>
      </w:tr>
      <w:tr>
        <w:tc>
          <w:tcPr>
            <w:tcW w:type="dxa" w:w="5040"/>
          </w:tcPr>
          <w:p>
            <w:r>
              <w:t>partition_utilization</w:t>
            </w:r>
          </w:p>
        </w:tc>
        <w:tc>
          <w:tcPr>
            <w:tcW w:type="dxa" w:w="5040"/>
          </w:tcPr>
          <w:p>
            <w:r>
              <w:t>Hot partition detection</w:t>
            </w:r>
          </w:p>
        </w:tc>
      </w:tr>
      <w:tr>
        <w:tc>
          <w:tcPr>
            <w:tcW w:type="dxa" w:w="5040"/>
          </w:tcPr>
          <w:p>
            <w:r>
              <w:t>active_mailbox_count</w:t>
            </w:r>
          </w:p>
        </w:tc>
        <w:tc>
          <w:tcPr>
            <w:tcW w:type="dxa" w:w="5040"/>
          </w:tcPr>
          <w:p>
            <w:r>
              <w:t>Runtime concurrency</w:t>
            </w:r>
          </w:p>
        </w:tc>
      </w:tr>
      <w:tr>
        <w:tc>
          <w:tcPr>
            <w:tcW w:type="dxa" w:w="5040"/>
          </w:tcPr>
          <w:p>
            <w:r>
              <w:t>coalesced_observation_count</w:t>
            </w:r>
          </w:p>
        </w:tc>
        <w:tc>
          <w:tcPr>
            <w:tcW w:type="dxa" w:w="5040"/>
          </w:tcPr>
          <w:p>
            <w:r>
              <w:t>Policy behavior</w:t>
            </w:r>
          </w:p>
        </w:tc>
      </w:tr>
      <w:tr>
        <w:tc>
          <w:tcPr>
            <w:tcW w:type="dxa" w:w="5040"/>
          </w:tcPr>
          <w:p>
            <w:r>
              <w:t>workflow_transition_total</w:t>
            </w:r>
          </w:p>
        </w:tc>
        <w:tc>
          <w:tcPr>
            <w:tcW w:type="dxa" w:w="5040"/>
          </w:tcPr>
          <w:p>
            <w:r>
              <w:t>Business state progression</w:t>
            </w:r>
          </w:p>
        </w:tc>
      </w:tr>
      <w:tr>
        <w:tc>
          <w:tcPr>
            <w:tcW w:type="dxa" w:w="5040"/>
          </w:tcPr>
          <w:p>
            <w:r>
              <w:t>candidate_intent_total</w:t>
            </w:r>
          </w:p>
        </w:tc>
        <w:tc>
          <w:tcPr>
            <w:tcW w:type="dxa" w:w="5040"/>
          </w:tcPr>
          <w:p>
            <w:r>
              <w:t>Generated candidates</w:t>
            </w:r>
          </w:p>
        </w:tc>
      </w:tr>
      <w:tr>
        <w:tc>
          <w:tcPr>
            <w:tcW w:type="dxa" w:w="5040"/>
          </w:tcPr>
          <w:p>
            <w:r>
              <w:t>replay_total</w:t>
            </w:r>
          </w:p>
        </w:tc>
        <w:tc>
          <w:tcPr>
            <w:tcW w:type="dxa" w:w="5040"/>
          </w:tcPr>
          <w:p>
            <w:r>
              <w:t>Recovery/reprocessing visibility</w:t>
            </w:r>
          </w:p>
        </w:tc>
      </w:tr>
      <w:tr>
        <w:tc>
          <w:tcPr>
            <w:tcW w:type="dxa" w:w="5040"/>
          </w:tcPr>
          <w:p>
            <w:r>
              <w:t>checkpoint_lag</w:t>
            </w:r>
          </w:p>
        </w:tc>
        <w:tc>
          <w:tcPr>
            <w:tcW w:type="dxa" w:w="5040"/>
          </w:tcPr>
          <w:p>
            <w:r>
              <w:t>Recovery risk</w:t>
            </w:r>
          </w:p>
        </w:tc>
      </w:tr>
    </w:tbl>
    <w:p>
      <w:r>
        <w:t>Trace context should connect normalized observation, evaluation, state transition and candidate intent. Manual debugging must allow inspection by strategy execution, instrument, observation ID and transition ID.</w:t>
      </w:r>
    </w:p>
    <w:p>
      <w:pPr>
        <w:pStyle w:val="Heading1"/>
      </w:pPr>
      <w:r>
        <w:t>20. Failure Handling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Failure</w:t>
            </w:r>
          </w:p>
        </w:tc>
        <w:tc>
          <w:tcPr>
            <w:tcW w:type="dxa" w:w="5040"/>
          </w:tcPr>
          <w:p>
            <w:r>
              <w:t>Handling</w:t>
            </w:r>
          </w:p>
        </w:tc>
      </w:tr>
      <w:tr>
        <w:tc>
          <w:tcPr>
            <w:tcW w:type="dxa" w:w="5040"/>
          </w:tcPr>
          <w:p>
            <w:r>
              <w:t>Evaluation exception</w:t>
            </w:r>
          </w:p>
        </w:tc>
        <w:tc>
          <w:tcPr>
            <w:tcW w:type="dxa" w:w="5040"/>
          </w:tcPr>
          <w:p>
            <w:r>
              <w:t>Isolate mailbox item, record error and apply retry/error policy without concurrent same-key processing</w:t>
            </w:r>
          </w:p>
        </w:tc>
      </w:tr>
      <w:tr>
        <w:tc>
          <w:tcPr>
            <w:tcW w:type="dxa" w:w="5040"/>
          </w:tcPr>
          <w:p>
            <w:r>
              <w:t>State persistence failure</w:t>
            </w:r>
          </w:p>
        </w:tc>
        <w:tc>
          <w:tcPr>
            <w:tcW w:type="dxa" w:w="5040"/>
          </w:tcPr>
          <w:p>
            <w:r>
              <w:t>Do not advance durable checkpoint; retry according to idempotency-safe policy</w:t>
            </w:r>
          </w:p>
        </w:tc>
      </w:tr>
      <w:tr>
        <w:tc>
          <w:tcPr>
            <w:tcW w:type="dxa" w:w="5040"/>
          </w:tcPr>
          <w:p>
            <w:r>
              <w:t>Candidate publication failure</w:t>
            </w:r>
          </w:p>
        </w:tc>
        <w:tc>
          <w:tcPr>
            <w:tcW w:type="dxa" w:w="5040"/>
          </w:tcPr>
          <w:p>
            <w:r>
              <w:t>Use durable outbox or equivalent reliable handoff</w:t>
            </w:r>
          </w:p>
        </w:tc>
      </w:tr>
      <w:tr>
        <w:tc>
          <w:tcPr>
            <w:tcW w:type="dxa" w:w="5040"/>
          </w:tcPr>
          <w:p>
            <w:r>
              <w:t>Worker crash</w:t>
            </w:r>
          </w:p>
        </w:tc>
        <w:tc>
          <w:tcPr>
            <w:tcW w:type="dxa" w:w="5040"/>
          </w:tcPr>
          <w:p>
            <w:r>
              <w:t>Ownership recovery and replay after last durable checkpoint</w:t>
            </w:r>
          </w:p>
        </w:tc>
      </w:tr>
      <w:tr>
        <w:tc>
          <w:tcPr>
            <w:tcW w:type="dxa" w:w="5040"/>
          </w:tcPr>
          <w:p>
            <w:r>
              <w:t>Poison observation</w:t>
            </w:r>
          </w:p>
        </w:tc>
        <w:tc>
          <w:tcPr>
            <w:tcW w:type="dxa" w:w="5040"/>
          </w:tcPr>
          <w:p>
            <w:r>
              <w:t>Quarantine with reason and transition execution to configured safe state; do not silently skip</w:t>
            </w:r>
          </w:p>
        </w:tc>
      </w:tr>
    </w:tbl>
    <w:p>
      <w:pPr>
        <w:pStyle w:val="Heading1"/>
      </w:pPr>
      <w:r>
        <w:t>21. Testing Strategy</w:t>
      </w:r>
    </w:p>
    <w:p>
      <w:pPr>
        <w:pStyle w:val="ListBullet"/>
      </w:pPr>
      <w:r>
        <w:t>Single-key ordering test: 10,000 observations maintain exact accepted order.</w:t>
      </w:r>
    </w:p>
    <w:p>
      <w:pPr>
        <w:pStyle w:val="ListBullet"/>
      </w:pPr>
      <w:r>
        <w:t>Concurrency test: two workers never evaluate the same EvaluationKey simultaneously.</w:t>
      </w:r>
    </w:p>
    <w:p>
      <w:pPr>
        <w:pStyle w:val="ListBullet"/>
      </w:pPr>
      <w:r>
        <w:t>Parallelism test: independent keys execute concurrently.</w:t>
      </w:r>
    </w:p>
    <w:p>
      <w:pPr>
        <w:pStyle w:val="ListBullet"/>
      </w:pPr>
      <w:r>
        <w:t>Buy-low test: a burst containing an intermediate low still produces the correct low-watermark under configured EVERY_TICK or semantic COALESCE_WINDOW behavior.</w:t>
      </w:r>
    </w:p>
    <w:p>
      <w:pPr>
        <w:pStyle w:val="ListBullet"/>
      </w:pPr>
      <w:r>
        <w:t>Lag test: producer rate exceeds evaluator capacity and DEGRADED/PAUSED behavior occurs according to policy.</w:t>
      </w:r>
    </w:p>
    <w:p>
      <w:pPr>
        <w:pStyle w:val="ListBullet"/>
      </w:pPr>
      <w:r>
        <w:t>Crash/recovery test: restart from checkpoint and replay without duplicate candidate intents.</w:t>
      </w:r>
    </w:p>
    <w:p>
      <w:pPr>
        <w:pStyle w:val="ListBullet"/>
      </w:pPr>
      <w:r>
        <w:t>Duplicate delivery test: repeated observation produces no duplicate external candidate.</w:t>
      </w:r>
    </w:p>
    <w:p>
      <w:pPr>
        <w:pStyle w:val="ListBullet"/>
      </w:pPr>
      <w:r>
        <w:t>Hot-key test: one instrument does not globally block unrelated executions.</w:t>
      </w:r>
    </w:p>
    <w:p>
      <w:pPr>
        <w:pStyle w:val="ListBullet"/>
      </w:pPr>
      <w:r>
        <w:t>Simulation test: dummy instrument LTP stream uses the same Workflow Engine and compiled plan as live execution.</w:t>
      </w:r>
    </w:p>
    <w:p>
      <w:pPr>
        <w:pStyle w:val="Heading1"/>
      </w:pPr>
      <w:r>
        <w:t>22. Recommended Interfaces</w:t>
      </w:r>
    </w:p>
    <w:p>
      <w:r>
        <w:rPr>
          <w:rFonts w:ascii="Consolas" w:hAnsi="Consolas"/>
          <w:sz w:val="17"/>
        </w:rPr>
        <w:t>EvaluationDispatcher.dispatch(</w:t>
        <w:br/>
        <w:t xml:space="preserve">    NormalizedMarketObservation observation)</w:t>
        <w:br/>
        <w:br/>
        <w:t>ExecutionMailboxManager.submit(</w:t>
        <w:br/>
        <w:t xml:space="preserve">    EvaluationKey key,</w:t>
        <w:br/>
        <w:t xml:space="preserve">    NormalizedMarketObservation observation,</w:t>
        <w:br/>
        <w:t xml:space="preserve">    EvaluationPolicy policy)</w:t>
        <w:br/>
        <w:br/>
        <w:t>WorkflowEngine.evaluate(</w:t>
        <w:br/>
        <w:t xml:space="preserve">    EvaluationKey key,</w:t>
        <w:br/>
        <w:t xml:space="preserve">    ExecutablePlan plan,</w:t>
        <w:br/>
        <w:t xml:space="preserve">    NormalizedMarketObservation observation)</w:t>
        <w:br/>
        <w:br/>
        <w:t>CheckpointManager.commit(</w:t>
        <w:br/>
        <w:t xml:space="preserve">    EvaluationKey key,</w:t>
        <w:br/>
        <w:t xml:space="preserve">    ProcessingCheckpoint checkpoint)</w:t>
        <w:br/>
        <w:br/>
        <w:t>CandidateIntentPublisher.publish(</w:t>
        <w:br/>
        <w:t xml:space="preserve">    CandidateIntent intent)</w:t>
      </w:r>
    </w:p>
    <w:p>
      <w:pPr>
        <w:pStyle w:val="Heading1"/>
      </w:pPr>
      <w:r>
        <w:t>23. Acceptance Criteria</w:t>
      </w:r>
    </w:p>
    <w:p>
      <w:pPr>
        <w:pStyle w:val="ListBullet"/>
      </w:pPr>
      <w:r>
        <w:t>No incoming broker tick is blocked by rule evaluation.</w:t>
      </w:r>
    </w:p>
    <w:p>
      <w:pPr>
        <w:pStyle w:val="ListBullet"/>
      </w:pPr>
      <w:r>
        <w:t>Only one workflow evaluation is active at a time for each StrategyExecutionId + InstrumentId.</w:t>
      </w:r>
    </w:p>
    <w:p>
      <w:pPr>
        <w:pStyle w:val="ListBullet"/>
      </w:pPr>
      <w:r>
        <w:t>Independent EvaluationKeys may execute concurrently.</w:t>
      </w:r>
    </w:p>
    <w:p>
      <w:pPr>
        <w:pStyle w:val="ListBullet"/>
      </w:pPr>
      <w:r>
        <w:t>Same-key ordering is deterministic according to the accepted observation ordering contract.</w:t>
      </w:r>
    </w:p>
    <w:p>
      <w:pPr>
        <w:pStyle w:val="ListBullet"/>
      </w:pPr>
      <w:r>
        <w:t>Normalized observations remain recoverable even when no trade candidate is generated.</w:t>
      </w:r>
    </w:p>
    <w:p>
      <w:pPr>
        <w:pStyle w:val="ListBullet"/>
      </w:pPr>
      <w:r>
        <w:t>Backpressure and overflow behavior are explicit and strategy-policy aware.</w:t>
      </w:r>
    </w:p>
    <w:p>
      <w:pPr>
        <w:pStyle w:val="ListBullet"/>
      </w:pPr>
      <w:r>
        <w:t>Coalescing preserves strategy-relevant semantics such as intermediate minimum/maximum when required.</w:t>
      </w:r>
    </w:p>
    <w:p>
      <w:pPr>
        <w:pStyle w:val="ListBullet"/>
      </w:pPr>
      <w:r>
        <w:t>Workflow Engine emits candidate intents idempotently and never directly places broker orders.</w:t>
      </w:r>
    </w:p>
    <w:p>
      <w:pPr>
        <w:pStyle w:val="ListBullet"/>
      </w:pPr>
      <w:r>
        <w:t>Crash recovery resumes from durable checkpoint and observation history/stream.</w:t>
      </w:r>
    </w:p>
    <w:p>
      <w:pPr>
        <w:pStyle w:val="ListBullet"/>
      </w:pPr>
      <w:r>
        <w:t>Queue lag, mailbox depth, evaluation latency and partition health are observable.</w:t>
      </w:r>
    </w:p>
    <w:p>
      <w:pPr>
        <w:pStyle w:val="ListBullet"/>
      </w:pPr>
      <w:r>
        <w:t>Simulation and live workflows share the same compilation and evaluation semantics.</w:t>
      </w:r>
    </w:p>
    <w:p>
      <w:pPr>
        <w:pStyle w:val="Heading1"/>
      </w:pPr>
      <w:r>
        <w:t>24.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Document</w:t>
            </w:r>
          </w:p>
        </w:tc>
        <w:tc>
          <w:tcPr>
            <w:tcW w:type="dxa" w:w="5040"/>
          </w:tcPr>
          <w:p>
            <w:r>
              <w:t>Dependency</w:t>
            </w:r>
          </w:p>
        </w:tc>
      </w:tr>
      <w:tr>
        <w:tc>
          <w:tcPr>
            <w:tcW w:type="dxa" w:w="5040"/>
          </w:tcPr>
          <w:p>
            <w:r>
              <w:t>07.3 Strategy DSL</w:t>
            </w:r>
          </w:p>
        </w:tc>
        <w:tc>
          <w:tcPr>
            <w:tcW w:type="dxa" w:w="5040"/>
          </w:tcPr>
          <w:p>
            <w:r>
              <w:t>Workflow semantics, actions and evaluation policy</w:t>
            </w:r>
          </w:p>
        </w:tc>
      </w:tr>
      <w:tr>
        <w:tc>
          <w:tcPr>
            <w:tcW w:type="dxa" w:w="5040"/>
          </w:tcPr>
          <w:p>
            <w:r>
              <w:t>07.4 Strategy Compiler</w:t>
            </w:r>
          </w:p>
        </w:tc>
        <w:tc>
          <w:tcPr>
            <w:tcW w:type="dxa" w:w="5040"/>
          </w:tcPr>
          <w:p>
            <w:r>
              <w:t>Immutable ExecutablePlan</w:t>
            </w:r>
          </w:p>
        </w:tc>
      </w:tr>
      <w:tr>
        <w:tc>
          <w:tcPr>
            <w:tcW w:type="dxa" w:w="5040"/>
          </w:tcPr>
          <w:p>
            <w:r>
              <w:t>07.6+ State/Transition design</w:t>
            </w:r>
          </w:p>
        </w:tc>
        <w:tc>
          <w:tcPr>
            <w:tcW w:type="dxa" w:w="5040"/>
          </w:tcPr>
          <w:p>
            <w:r>
              <w:t>Detailed runtime state semantics</w:t>
            </w:r>
          </w:p>
        </w:tc>
      </w:tr>
      <w:tr>
        <w:tc>
          <w:tcPr>
            <w:tcW w:type="dxa" w:w="5040"/>
          </w:tcPr>
          <w:p>
            <w:r>
              <w:t>Market Observation architecture</w:t>
            </w:r>
          </w:p>
        </w:tc>
        <w:tc>
          <w:tcPr>
            <w:tcW w:type="dxa" w:w="5040"/>
          </w:tcPr>
          <w:p>
            <w:r>
              <w:t>Normalized observation contract and persistence</w:t>
            </w:r>
          </w:p>
        </w:tc>
      </w:tr>
      <w:tr>
        <w:tc>
          <w:tcPr>
            <w:tcW w:type="dxa" w:w="5040"/>
          </w:tcPr>
          <w:p>
            <w:r>
              <w:t>Allocation/Risk architecture</w:t>
            </w:r>
          </w:p>
        </w:tc>
        <w:tc>
          <w:tcPr>
            <w:tcW w:type="dxa" w:w="5040"/>
          </w:tcPr>
          <w:p>
            <w:r>
              <w:t>Candidate intent consumption</w:t>
            </w:r>
          </w:p>
        </w:tc>
      </w:tr>
      <w:tr>
        <w:tc>
          <w:tcPr>
            <w:tcW w:type="dxa" w:w="5040"/>
          </w:tcPr>
          <w:p>
            <w:r>
              <w:t>Simulation/Replay architecture</w:t>
            </w:r>
          </w:p>
        </w:tc>
        <w:tc>
          <w:tcPr>
            <w:tcW w:type="dxa" w:w="5040"/>
          </w:tcPr>
          <w:p>
            <w:r>
              <w:t>Shared Workflow Engine behavior</w:t>
            </w:r>
          </w:p>
        </w:tc>
      </w:tr>
    </w:tbl>
    <w:p>
      <w:pPr>
        <w:pStyle w:val="Heading1"/>
      </w:pPr>
      <w:r>
        <w:t>Conclusion</w:t>
      </w:r>
    </w:p>
    <w:p>
      <w:r>
        <w:t>The Workflow Engine is intentionally decoupled from high-frequency tick ingestion. The Execution Mailbox / Partition Manager absorbs arrival bursts and guarantees sequential stateful processing for each StrategyExecution + Instrument. This enables correct buy-low/high-watermark behavior, deterministic transitions and recovery, while still scaling horizontally across unrelated strategy executions and instruments.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