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07.16 – Plugin Framework</w:t>
      </w:r>
    </w:p>
    <w:p>
      <w:pPr>
        <w:jc w:val="center"/>
      </w:pPr>
      <w:r>
        <w:rPr>
          <w:b/>
        </w:rPr>
        <w:t>Profit-Bees Strategy Platform | Version 1.0 – Review Draft</w:t>
      </w:r>
    </w:p>
    <w:p>
      <w:r>
        <w:t>Purpose: Define a controlled plugin architecture that allows the Profit-Bees platform to add broker adapters, market-data adapters, indicators, execution policies, notification providers and other bounded extensions without modifying the strategy engine core. The framework is designed around explicit contracts, capability registration, version compatibility, isolation and operational governance.</w:t>
      </w:r>
    </w:p>
    <w:p>
      <w:r>
        <w:t>Architecture alignment: Strategy DSL/Compiler, Workflow Engine, Rule Engine, Indicator Engine, Allocation &amp; Risk Engine, Trade Lifecycle Manager, Replay/Simulation Engine, Operations &amp; Observability, Strategy Repository and containerized deployment.</w:t>
      </w:r>
    </w:p>
    <w:p>
      <w:pPr>
        <w:pStyle w:val="Heading1"/>
      </w:pPr>
      <w:r>
        <w:t>1. Plugin Design Goals</w:t>
      </w:r>
    </w:p>
    <w:p>
      <w:pPr>
        <w:pStyle w:val="ListBullet"/>
      </w:pPr>
      <w:r>
        <w:t>Extend platform capabilities through stable interfaces rather than core-code changes.</w:t>
      </w:r>
    </w:p>
    <w:p>
      <w:pPr>
        <w:pStyle w:val="ListBullet"/>
      </w:pPr>
      <w:r>
        <w:t>Keep strategy evaluation deterministic and independent of vendor SDK details.</w:t>
      </w:r>
    </w:p>
    <w:p>
      <w:pPr>
        <w:pStyle w:val="ListBullet"/>
      </w:pPr>
      <w:r>
        <w:t>Prevent arbitrary plugin code from bypassing risk, lifecycle or security controls.</w:t>
      </w:r>
    </w:p>
    <w:p>
      <w:pPr>
        <w:pStyle w:val="ListBullet"/>
      </w:pPr>
      <w:r>
        <w:t>Allow multiple broker/data providers to coexist behind common contracts.</w:t>
      </w:r>
    </w:p>
    <w:p>
      <w:pPr>
        <w:pStyle w:val="ListBullet"/>
      </w:pPr>
      <w:r>
        <w:t>Make plugin versions and capabilities explicit and auditable.</w:t>
      </w:r>
    </w:p>
    <w:p>
      <w:pPr>
        <w:pStyle w:val="ListBullet"/>
      </w:pPr>
      <w:r>
        <w:t>Support simulation/replay adapters without coupling them to live execution.</w:t>
      </w:r>
    </w:p>
    <w:p>
      <w:pPr>
        <w:pStyle w:val="ListBullet"/>
      </w:pPr>
      <w:r>
        <w:t>Allow operational enable/disable and controlled rollout.</w:t>
      </w:r>
    </w:p>
    <w:p>
      <w:pPr>
        <w:pStyle w:val="ListBullet"/>
      </w:pPr>
      <w:r>
        <w:t>Preserve the Execution Mailbox / Partition Manager invariant for stateful strategy evaluation.</w:t>
      </w:r>
    </w:p>
    <w:p>
      <w:pPr>
        <w:pStyle w:val="Heading1"/>
      </w:pPr>
      <w:r>
        <w:t>2. What Is a Plugin?</w:t>
      </w:r>
    </w:p>
    <w:p>
      <w:r>
        <w:t>A plugin is a versioned implementation of an approved platform extension contract. A plugin is not a mechanism for uploading arbitrary executable code through the strategy UI.</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Plugin Category</w:t>
            </w:r>
          </w:p>
        </w:tc>
        <w:tc>
          <w:tcPr>
            <w:tcW w:type="dxa" w:w="5040"/>
          </w:tcPr>
          <w:p>
            <w:r>
              <w:t>Primary Responsibility</w:t>
            </w:r>
          </w:p>
        </w:tc>
      </w:tr>
      <w:tr>
        <w:tc>
          <w:tcPr>
            <w:tcW w:type="dxa" w:w="5040"/>
          </w:tcPr>
          <w:p>
            <w:r>
              <w:t>Market Data Adapter</w:t>
            </w:r>
          </w:p>
        </w:tc>
        <w:tc>
          <w:tcPr>
            <w:tcW w:type="dxa" w:w="5040"/>
          </w:tcPr>
          <w:p>
            <w:r>
              <w:t>Connect external market-data source and produce normalized observations</w:t>
            </w:r>
          </w:p>
        </w:tc>
      </w:tr>
      <w:tr>
        <w:tc>
          <w:tcPr>
            <w:tcW w:type="dxa" w:w="5040"/>
          </w:tcPr>
          <w:p>
            <w:r>
              <w:t>Broker Execution Adapter</w:t>
            </w:r>
          </w:p>
        </w:tc>
        <w:tc>
          <w:tcPr>
            <w:tcW w:type="dxa" w:w="5040"/>
          </w:tcPr>
          <w:p>
            <w:r>
              <w:t>Translate approved execution requests into broker API/SDK operations</w:t>
            </w:r>
          </w:p>
        </w:tc>
      </w:tr>
      <w:tr>
        <w:tc>
          <w:tcPr>
            <w:tcW w:type="dxa" w:w="5040"/>
          </w:tcPr>
          <w:p>
            <w:r>
              <w:t>Execution Update Adapter</w:t>
            </w:r>
          </w:p>
        </w:tc>
        <w:tc>
          <w:tcPr>
            <w:tcW w:type="dxa" w:w="5040"/>
          </w:tcPr>
          <w:p>
            <w:r>
              <w:t>Normalize acknowledgements, fills, cancellations and rejections</w:t>
            </w:r>
          </w:p>
        </w:tc>
      </w:tr>
      <w:tr>
        <w:tc>
          <w:tcPr>
            <w:tcW w:type="dxa" w:w="5040"/>
          </w:tcPr>
          <w:p>
            <w:r>
              <w:t>Indicator Plugin</w:t>
            </w:r>
          </w:p>
        </w:tc>
        <w:tc>
          <w:tcPr>
            <w:tcW w:type="dxa" w:w="5040"/>
          </w:tcPr>
          <w:p>
            <w:r>
              <w:t>Provide approved indicator implementation</w:t>
            </w:r>
          </w:p>
        </w:tc>
      </w:tr>
      <w:tr>
        <w:tc>
          <w:tcPr>
            <w:tcW w:type="dxa" w:w="5040"/>
          </w:tcPr>
          <w:p>
            <w:r>
              <w:t>Notification Plugin</w:t>
            </w:r>
          </w:p>
        </w:tc>
        <w:tc>
          <w:tcPr>
            <w:tcW w:type="dxa" w:w="5040"/>
          </w:tcPr>
          <w:p>
            <w:r>
              <w:t>Deliver operational/user notifications</w:t>
            </w:r>
          </w:p>
        </w:tc>
      </w:tr>
      <w:tr>
        <w:tc>
          <w:tcPr>
            <w:tcW w:type="dxa" w:w="5040"/>
          </w:tcPr>
          <w:p>
            <w:r>
              <w:t>Risk Policy Plugin</w:t>
            </w:r>
          </w:p>
        </w:tc>
        <w:tc>
          <w:tcPr>
            <w:tcW w:type="dxa" w:w="5040"/>
          </w:tcPr>
          <w:p>
            <w:r>
              <w:t>Optional implementation of approved risk-policy contract</w:t>
            </w:r>
          </w:p>
        </w:tc>
      </w:tr>
      <w:tr>
        <w:tc>
          <w:tcPr>
            <w:tcW w:type="dxa" w:w="5040"/>
          </w:tcPr>
          <w:p>
            <w:r>
              <w:t>Allocation Plugin</w:t>
            </w:r>
          </w:p>
        </w:tc>
        <w:tc>
          <w:tcPr>
            <w:tcW w:type="dxa" w:w="5040"/>
          </w:tcPr>
          <w:p>
            <w:r>
              <w:t>Optional allocation algorithm under platform governance</w:t>
            </w:r>
          </w:p>
        </w:tc>
      </w:tr>
      <w:tr>
        <w:tc>
          <w:tcPr>
            <w:tcW w:type="dxa" w:w="5040"/>
          </w:tcPr>
          <w:p>
            <w:r>
              <w:t>Simulation Adapter</w:t>
            </w:r>
          </w:p>
        </w:tc>
        <w:tc>
          <w:tcPr>
            <w:tcW w:type="dxa" w:w="5040"/>
          </w:tcPr>
          <w:p>
            <w:r>
              <w:t>Provide deterministic simulated fills/market behavior</w:t>
            </w:r>
          </w:p>
        </w:tc>
      </w:tr>
      <w:tr>
        <w:tc>
          <w:tcPr>
            <w:tcW w:type="dxa" w:w="5040"/>
          </w:tcPr>
          <w:p>
            <w:r>
              <w:t>Storage Adapter</w:t>
            </w:r>
          </w:p>
        </w:tc>
        <w:tc>
          <w:tcPr>
            <w:tcW w:type="dxa" w:w="5040"/>
          </w:tcPr>
          <w:p>
            <w:r>
              <w:t>Optional bounded persistence integration where explicitly approved</w:t>
            </w:r>
          </w:p>
        </w:tc>
      </w:tr>
    </w:tbl>
    <w:p>
      <w:pPr>
        <w:pStyle w:val="Heading1"/>
      </w:pPr>
      <w:r>
        <w:t>3. Non-Goals</w:t>
      </w:r>
    </w:p>
    <w:p>
      <w:pPr>
        <w:pStyle w:val="ListBullet"/>
      </w:pPr>
      <w:r>
        <w:t>No arbitrary user scripts execute inside the live strategy runtime.</w:t>
      </w:r>
    </w:p>
    <w:p>
      <w:pPr>
        <w:pStyle w:val="ListBullet"/>
      </w:pPr>
      <w:r>
        <w:t>Plugins cannot directly create trades without passing the defined strategy/risk/lifecycle boundaries.</w:t>
      </w:r>
    </w:p>
    <w:p>
      <w:pPr>
        <w:pStyle w:val="ListBullet"/>
      </w:pPr>
      <w:r>
        <w:t>Plugins cannot bypass Allocation &amp; Risk.</w:t>
      </w:r>
    </w:p>
    <w:p>
      <w:pPr>
        <w:pStyle w:val="ListBullet"/>
      </w:pPr>
      <w:r>
        <w:t>Plugins cannot modify immutable StrategyVersion or PublishedPlan records.</w:t>
      </w:r>
    </w:p>
    <w:p>
      <w:pPr>
        <w:pStyle w:val="ListBullet"/>
      </w:pPr>
      <w:r>
        <w:t>Plugins cannot directly mutate another plugin’s state.</w:t>
      </w:r>
    </w:p>
    <w:p>
      <w:pPr>
        <w:pStyle w:val="ListBullet"/>
      </w:pPr>
      <w:r>
        <w:t>Plugins do not replace the Execution Mailbox / Partition Manager.</w:t>
      </w:r>
    </w:p>
    <w:p>
      <w:pPr>
        <w:pStyle w:val="Heading1"/>
      </w:pPr>
      <w:r>
        <w:t>4. Logical Architecture</w:t>
      </w:r>
    </w:p>
    <w:p>
      <w:r>
        <w:rPr>
          <w:rFonts w:ascii="Consolas" w:hAnsi="Consolas"/>
          <w:sz w:val="16"/>
        </w:rPr>
        <w:t>Strategy Platform Core</w:t>
        <w:br/>
        <w:t xml:space="preserve">  ┌──────────────────────────────────────────────────────┐</w:t>
        <w:br/>
        <w:t xml:space="preserve">  │ DSL → Compiler → Workflow → Rule/Indicator → Risk   │</w:t>
        <w:br/>
        <w:t xml:space="preserve">  │                           → Trade Lifecycle           │</w:t>
        <w:br/>
        <w:t xml:space="preserve">  └───────────────────────┬──────────────────────────────┘</w:t>
        <w:br/>
        <w:t xml:space="preserve">                          │ Stable Contracts</w:t>
        <w:br/>
        <w:t xml:space="preserve">             ┌────────────┼────────────┐</w:t>
        <w:br/>
        <w:t xml:space="preserve">             ▼            ▼            ▼</w:t>
        <w:br/>
        <w:t xml:space="preserve">       Market Data     Execution    Simulation</w:t>
        <w:br/>
        <w:t xml:space="preserve">         Plugins        Plugins       Plugins</w:t>
        <w:br/>
        <w:t xml:space="preserve">             │            │            │</w:t>
        <w:br/>
        <w:t xml:space="preserve">             ▼            ▼            ▼</w:t>
        <w:br/>
        <w:t xml:space="preserve">          Vendors / Broker SDKs / Test Providers</w:t>
        <w:br/>
        <w:br/>
        <w:t xml:space="preserve">        Plugin Registry + Compatibility + Policy</w:t>
        <w:br/>
        <w:t xml:space="preserve">                         │</w:t>
        <w:br/>
        <w:t xml:space="preserve">                  Observability / Audit</w:t>
      </w:r>
    </w:p>
    <w:p>
      <w:pPr>
        <w:pStyle w:val="Heading1"/>
      </w:pPr>
      <w:r>
        <w:t>5. Plugin Boundary Rules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Rule</w:t>
            </w:r>
          </w:p>
        </w:tc>
        <w:tc>
          <w:tcPr>
            <w:tcW w:type="dxa" w:w="5040"/>
          </w:tcPr>
          <w:p>
            <w:r>
              <w:t>Decision</w:t>
            </w:r>
          </w:p>
        </w:tc>
      </w:tr>
      <w:tr>
        <w:tc>
          <w:tcPr>
            <w:tcW w:type="dxa" w:w="5040"/>
          </w:tcPr>
          <w:p>
            <w:r>
              <w:t>Strategy logic</w:t>
            </w:r>
          </w:p>
        </w:tc>
        <w:tc>
          <w:tcPr>
            <w:tcW w:type="dxa" w:w="5040"/>
          </w:tcPr>
          <w:p>
            <w:r>
              <w:t>May reference approved capabilities; not vendor SDK classes</w:t>
            </w:r>
          </w:p>
        </w:tc>
      </w:tr>
      <w:tr>
        <w:tc>
          <w:tcPr>
            <w:tcW w:type="dxa" w:w="5040"/>
          </w:tcPr>
          <w:p>
            <w:r>
              <w:t>Rule Engine</w:t>
            </w:r>
          </w:p>
        </w:tc>
        <w:tc>
          <w:tcPr>
            <w:tcW w:type="dxa" w:w="5040"/>
          </w:tcPr>
          <w:p>
            <w:r>
              <w:t>No plugin side effects</w:t>
            </w:r>
          </w:p>
        </w:tc>
      </w:tr>
      <w:tr>
        <w:tc>
          <w:tcPr>
            <w:tcW w:type="dxa" w:w="5040"/>
          </w:tcPr>
          <w:p>
            <w:r>
              <w:t>Indicator Engine</w:t>
            </w:r>
          </w:p>
        </w:tc>
        <w:tc>
          <w:tcPr>
            <w:tcW w:type="dxa" w:w="5040"/>
          </w:tcPr>
          <w:p>
            <w:r>
              <w:t>Plugin calculation returns typed indicator result</w:t>
            </w:r>
          </w:p>
        </w:tc>
      </w:tr>
      <w:tr>
        <w:tc>
          <w:tcPr>
            <w:tcW w:type="dxa" w:w="5040"/>
          </w:tcPr>
          <w:p>
            <w:r>
              <w:t>Allocation/Risk</w:t>
            </w:r>
          </w:p>
        </w:tc>
        <w:tc>
          <w:tcPr>
            <w:tcW w:type="dxa" w:w="5040"/>
          </w:tcPr>
          <w:p>
            <w:r>
              <w:t>Plugin output is advisory unless approved as policy implementation</w:t>
            </w:r>
          </w:p>
        </w:tc>
      </w:tr>
      <w:tr>
        <w:tc>
          <w:tcPr>
            <w:tcW w:type="dxa" w:w="5040"/>
          </w:tcPr>
          <w:p>
            <w:r>
              <w:t>Trade Lifecycle</w:t>
            </w:r>
          </w:p>
        </w:tc>
        <w:tc>
          <w:tcPr>
            <w:tcW w:type="dxa" w:w="5040"/>
          </w:tcPr>
          <w:p>
            <w:r>
              <w:t>Only approved execution adapter receives an execution request</w:t>
            </w:r>
          </w:p>
        </w:tc>
      </w:tr>
      <w:tr>
        <w:tc>
          <w:tcPr>
            <w:tcW w:type="dxa" w:w="5040"/>
          </w:tcPr>
          <w:p>
            <w:r>
              <w:t>Broker SDK</w:t>
            </w:r>
          </w:p>
        </w:tc>
        <w:tc>
          <w:tcPr>
            <w:tcW w:type="dxa" w:w="5040"/>
          </w:tcPr>
          <w:p>
            <w:r>
              <w:t>Contained inside broker plugin/adapter boundary</w:t>
            </w:r>
          </w:p>
        </w:tc>
      </w:tr>
      <w:tr>
        <w:tc>
          <w:tcPr>
            <w:tcW w:type="dxa" w:w="5040"/>
          </w:tcPr>
          <w:p>
            <w:r>
              <w:t>Replay</w:t>
            </w:r>
          </w:p>
        </w:tc>
        <w:tc>
          <w:tcPr>
            <w:tcW w:type="dxa" w:w="5040"/>
          </w:tcPr>
          <w:p>
            <w:r>
              <w:t>Uses replay/simulation plugin, never live broker adapter</w:t>
            </w:r>
          </w:p>
        </w:tc>
      </w:tr>
      <w:tr>
        <w:tc>
          <w:tcPr>
            <w:tcW w:type="dxa" w:w="5040"/>
          </w:tcPr>
          <w:p>
            <w:r>
              <w:t>Observability</w:t>
            </w:r>
          </w:p>
        </w:tc>
        <w:tc>
          <w:tcPr>
            <w:tcW w:type="dxa" w:w="5040"/>
          </w:tcPr>
          <w:p>
            <w:r>
              <w:t>Every plugin operation carries correlation and plugin version</w:t>
            </w:r>
          </w:p>
        </w:tc>
      </w:tr>
    </w:tbl>
    <w:p>
      <w:pPr>
        <w:pStyle w:val="Heading1"/>
      </w:pPr>
      <w:r>
        <w:t>6. Plugin Lifecycle</w:t>
      </w:r>
    </w:p>
    <w:p>
      <w:r>
        <w:rPr>
          <w:rFonts w:ascii="Consolas" w:hAnsi="Consolas"/>
          <w:sz w:val="16"/>
        </w:rPr>
        <w:t>DISCOVERED</w:t>
        <w:br/>
        <w:t xml:space="preserve">   │ validate manifest</w:t>
        <w:br/>
        <w:t xml:space="preserve">   ▼</w:t>
        <w:br/>
        <w:t>VALIDATED</w:t>
        <w:br/>
        <w:t xml:space="preserve">   │ register</w:t>
        <w:br/>
        <w:t xml:space="preserve">   ▼</w:t>
        <w:br/>
        <w:t>REGISTERED</w:t>
        <w:br/>
        <w:t xml:space="preserve">   │ enable</w:t>
        <w:br/>
        <w:t xml:space="preserve">   ▼</w:t>
        <w:br/>
        <w:t>ENABLED</w:t>
        <w:br/>
        <w:t xml:space="preserve">   │ operational use</w:t>
        <w:br/>
        <w:t xml:space="preserve">   ▼</w:t>
        <w:br/>
        <w:t>ACTIVE</w:t>
        <w:br/>
        <w:t xml:space="preserve">   │ disable</w:t>
        <w:br/>
        <w:t xml:space="preserve">   ▼</w:t>
        <w:br/>
        <w:t>DISABLED</w:t>
        <w:br/>
        <w:t xml:space="preserve">   │ retire</w:t>
        <w:br/>
        <w:t xml:space="preserve">   ▼</w:t>
        <w:br/>
        <w:t>RETIRED</w:t>
        <w:br/>
        <w:br/>
        <w:t>VALIDATED ──failure──&gt; REJECTED</w:t>
        <w:br/>
        <w:t>ACTIVE ──health failure──&gt; DEGRADED</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State</w:t>
            </w:r>
          </w:p>
        </w:tc>
        <w:tc>
          <w:tcPr>
            <w:tcW w:type="dxa" w:w="5040"/>
          </w:tcPr>
          <w:p>
            <w:r>
              <w:t>Meaning</w:t>
            </w:r>
          </w:p>
        </w:tc>
      </w:tr>
      <w:tr>
        <w:tc>
          <w:tcPr>
            <w:tcW w:type="dxa" w:w="5040"/>
          </w:tcPr>
          <w:p>
            <w:r>
              <w:t>DISCOVERED</w:t>
            </w:r>
          </w:p>
        </w:tc>
        <w:tc>
          <w:tcPr>
            <w:tcW w:type="dxa" w:w="5040"/>
          </w:tcPr>
          <w:p>
            <w:r>
              <w:t>Artifact/configuration found</w:t>
            </w:r>
          </w:p>
        </w:tc>
      </w:tr>
      <w:tr>
        <w:tc>
          <w:tcPr>
            <w:tcW w:type="dxa" w:w="5040"/>
          </w:tcPr>
          <w:p>
            <w:r>
              <w:t>VALIDATED</w:t>
            </w:r>
          </w:p>
        </w:tc>
        <w:tc>
          <w:tcPr>
            <w:tcW w:type="dxa" w:w="5040"/>
          </w:tcPr>
          <w:p>
            <w:r>
              <w:t>Manifest, signature, contract and compatibility checks pass</w:t>
            </w:r>
          </w:p>
        </w:tc>
      </w:tr>
      <w:tr>
        <w:tc>
          <w:tcPr>
            <w:tcW w:type="dxa" w:w="5040"/>
          </w:tcPr>
          <w:p>
            <w:r>
              <w:t>REGISTERED</w:t>
            </w:r>
          </w:p>
        </w:tc>
        <w:tc>
          <w:tcPr>
            <w:tcW w:type="dxa" w:w="5040"/>
          </w:tcPr>
          <w:p>
            <w:r>
              <w:t>Known by the plugin registry</w:t>
            </w:r>
          </w:p>
        </w:tc>
      </w:tr>
      <w:tr>
        <w:tc>
          <w:tcPr>
            <w:tcW w:type="dxa" w:w="5040"/>
          </w:tcPr>
          <w:p>
            <w:r>
              <w:t>ENABLED</w:t>
            </w:r>
          </w:p>
        </w:tc>
        <w:tc>
          <w:tcPr>
            <w:tcW w:type="dxa" w:w="5040"/>
          </w:tcPr>
          <w:p>
            <w:r>
              <w:t>Allowed for use</w:t>
            </w:r>
          </w:p>
        </w:tc>
      </w:tr>
      <w:tr>
        <w:tc>
          <w:tcPr>
            <w:tcW w:type="dxa" w:w="5040"/>
          </w:tcPr>
          <w:p>
            <w:r>
              <w:t>ACTIVE</w:t>
            </w:r>
          </w:p>
        </w:tc>
        <w:tc>
          <w:tcPr>
            <w:tcW w:type="dxa" w:w="5040"/>
          </w:tcPr>
          <w:p>
            <w:r>
              <w:t>Serving runtime requests</w:t>
            </w:r>
          </w:p>
        </w:tc>
      </w:tr>
      <w:tr>
        <w:tc>
          <w:tcPr>
            <w:tcW w:type="dxa" w:w="5040"/>
          </w:tcPr>
          <w:p>
            <w:r>
              <w:t>DEGRADED</w:t>
            </w:r>
          </w:p>
        </w:tc>
        <w:tc>
          <w:tcPr>
            <w:tcW w:type="dxa" w:w="5040"/>
          </w:tcPr>
          <w:p>
            <w:r>
              <w:t>Available but failing health/SLI expectations</w:t>
            </w:r>
          </w:p>
        </w:tc>
      </w:tr>
      <w:tr>
        <w:tc>
          <w:tcPr>
            <w:tcW w:type="dxa" w:w="5040"/>
          </w:tcPr>
          <w:p>
            <w:r>
              <w:t>DISABLED</w:t>
            </w:r>
          </w:p>
        </w:tc>
        <w:tc>
          <w:tcPr>
            <w:tcW w:type="dxa" w:w="5040"/>
          </w:tcPr>
          <w:p>
            <w:r>
              <w:t>Prevented from new use</w:t>
            </w:r>
          </w:p>
        </w:tc>
      </w:tr>
      <w:tr>
        <w:tc>
          <w:tcPr>
            <w:tcW w:type="dxa" w:w="5040"/>
          </w:tcPr>
          <w:p>
            <w:r>
              <w:t>RETIRED</w:t>
            </w:r>
          </w:p>
        </w:tc>
        <w:tc>
          <w:tcPr>
            <w:tcW w:type="dxa" w:w="5040"/>
          </w:tcPr>
          <w:p>
            <w:r>
              <w:t>Historical only</w:t>
            </w:r>
          </w:p>
        </w:tc>
      </w:tr>
      <w:tr>
        <w:tc>
          <w:tcPr>
            <w:tcW w:type="dxa" w:w="5040"/>
          </w:tcPr>
          <w:p>
            <w:r>
              <w:t>REJECTED</w:t>
            </w:r>
          </w:p>
        </w:tc>
        <w:tc>
          <w:tcPr>
            <w:tcW w:type="dxa" w:w="5040"/>
          </w:tcPr>
          <w:p>
            <w:r>
              <w:t>Failed validation</w:t>
            </w:r>
          </w:p>
        </w:tc>
      </w:tr>
    </w:tbl>
    <w:p>
      <w:pPr>
        <w:pStyle w:val="Heading1"/>
      </w:pPr>
      <w:r>
        <w:t>7. Plugin Manifest</w:t>
      </w:r>
    </w:p>
    <w:p>
      <w:r>
        <w:rPr>
          <w:rFonts w:ascii="Consolas" w:hAnsi="Consolas"/>
          <w:sz w:val="16"/>
        </w:rPr>
        <w:t>{</w:t>
        <w:br/>
        <w:t xml:space="preserve">  "pluginId": "broker.example",</w:t>
        <w:br/>
        <w:t xml:space="preserve">  "pluginVersion": "1.4.2",</w:t>
        <w:br/>
        <w:t xml:space="preserve">  "apiVersion": "1.0",</w:t>
        <w:br/>
        <w:t xml:space="preserve">  "type": "BROKER_EXECUTION",</w:t>
        <w:br/>
        <w:t xml:space="preserve">  "vendor": "ExampleBroker",</w:t>
        <w:br/>
        <w:t xml:space="preserve">  "capabilities": [</w:t>
        <w:br/>
        <w:t xml:space="preserve">    "ORDER_PLACE",</w:t>
        <w:br/>
        <w:t xml:space="preserve">    "ORDER_CANCEL",</w:t>
        <w:br/>
        <w:t xml:space="preserve">    "ORDER_STATUS",</w:t>
        <w:br/>
        <w:t xml:space="preserve">    "EXECUTION_UPDATES"</w:t>
        <w:br/>
        <w:t xml:space="preserve">  ],</w:t>
        <w:br/>
        <w:t xml:space="preserve">  "runtime": {</w:t>
        <w:br/>
        <w:t xml:space="preserve">    "java": "21"</w:t>
        <w:br/>
        <w:t xml:space="preserve">  },</w:t>
        <w:br/>
        <w:t xml:space="preserve">  "configSchemaVersion": "2",</w:t>
        <w:br/>
        <w:t xml:space="preserve">  "checksum": "..."</w:t>
        <w:br/>
        <w:t>}</w:t>
      </w:r>
    </w:p>
    <w:p>
      <w:r>
        <w:t>The manifest is metadata, not executable strategy logic. It is used for compatibility, capability discovery and governance.</w:t>
      </w:r>
    </w:p>
    <w:p>
      <w:pPr>
        <w:pStyle w:val="Heading1"/>
      </w:pPr>
      <w:r>
        <w:t>8. Plugin Registry</w:t>
      </w:r>
    </w:p>
    <w:p>
      <w:r>
        <w:rPr>
          <w:rFonts w:ascii="Consolas" w:hAnsi="Consolas"/>
          <w:sz w:val="16"/>
        </w:rPr>
        <w:t>plugin_registry</w:t>
        <w:br/>
        <w:t>---------------</w:t>
        <w:br/>
        <w:t>plugin_id</w:t>
        <w:br/>
        <w:t>plugin_version</w:t>
        <w:br/>
        <w:t>plugin_type</w:t>
        <w:br/>
        <w:t>api_version</w:t>
        <w:br/>
        <w:t>status</w:t>
        <w:br/>
        <w:t>capabilities</w:t>
        <w:br/>
        <w:t>artifact_reference</w:t>
        <w:br/>
        <w:t>checksum</w:t>
        <w:br/>
        <w:t>configuration_schema</w:t>
        <w:br/>
        <w:t>registered_at</w:t>
        <w:br/>
        <w:t>approved_by</w:t>
        <w:br/>
        <w:t>last_health_check</w:t>
      </w:r>
    </w:p>
    <w:p>
      <w:pPr>
        <w:pStyle w:val="ListBullet"/>
      </w:pPr>
      <w:r>
        <w:t>One plugin ID can have multiple retained versions.</w:t>
      </w:r>
    </w:p>
    <w:p>
      <w:pPr>
        <w:pStyle w:val="ListBullet"/>
      </w:pPr>
      <w:r>
        <w:t>Only approved versions may become ENABLED.</w:t>
      </w:r>
    </w:p>
    <w:p>
      <w:pPr>
        <w:pStyle w:val="ListBullet"/>
      </w:pPr>
      <w:r>
        <w:t>Runtime references the exact plugin version used.</w:t>
      </w:r>
    </w:p>
    <w:p>
      <w:pPr>
        <w:pStyle w:val="ListBullet"/>
      </w:pPr>
      <w:r>
        <w:t>Registry changes are auditable.</w:t>
      </w:r>
    </w:p>
    <w:p>
      <w:pPr>
        <w:pStyle w:val="Heading1"/>
      </w:pPr>
      <w:r>
        <w:t>9. Capability Model</w:t>
      </w:r>
    </w:p>
    <w:p>
      <w:r>
        <w:t>Capabilities are preferable to hard-coded vendor names in platform logic.</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Capability</w:t>
            </w:r>
          </w:p>
        </w:tc>
        <w:tc>
          <w:tcPr>
            <w:tcW w:type="dxa" w:w="5040"/>
          </w:tcPr>
          <w:p>
            <w:r>
              <w:t>Example</w:t>
            </w:r>
          </w:p>
        </w:tc>
      </w:tr>
      <w:tr>
        <w:tc>
          <w:tcPr>
            <w:tcW w:type="dxa" w:w="5040"/>
          </w:tcPr>
          <w:p>
            <w:r>
              <w:t>MARKET_LTP</w:t>
            </w:r>
          </w:p>
        </w:tc>
        <w:tc>
          <w:tcPr>
            <w:tcW w:type="dxa" w:w="5040"/>
          </w:tcPr>
          <w:p>
            <w:r>
              <w:t>LTP stream available</w:t>
            </w:r>
          </w:p>
        </w:tc>
      </w:tr>
      <w:tr>
        <w:tc>
          <w:tcPr>
            <w:tcW w:type="dxa" w:w="5040"/>
          </w:tcPr>
          <w:p>
            <w:r>
              <w:t>MARKET_DEPTH</w:t>
            </w:r>
          </w:p>
        </w:tc>
        <w:tc>
          <w:tcPr>
            <w:tcW w:type="dxa" w:w="5040"/>
          </w:tcPr>
          <w:p>
            <w:r>
              <w:t>Depth/market-by-price available</w:t>
            </w:r>
          </w:p>
        </w:tc>
      </w:tr>
      <w:tr>
        <w:tc>
          <w:tcPr>
            <w:tcW w:type="dxa" w:w="5040"/>
          </w:tcPr>
          <w:p>
            <w:r>
              <w:t>ORDER_PLACE</w:t>
            </w:r>
          </w:p>
        </w:tc>
        <w:tc>
          <w:tcPr>
            <w:tcW w:type="dxa" w:w="5040"/>
          </w:tcPr>
          <w:p>
            <w:r>
              <w:t>Place order</w:t>
            </w:r>
          </w:p>
        </w:tc>
      </w:tr>
      <w:tr>
        <w:tc>
          <w:tcPr>
            <w:tcW w:type="dxa" w:w="5040"/>
          </w:tcPr>
          <w:p>
            <w:r>
              <w:t>ORDER_CANCEL</w:t>
            </w:r>
          </w:p>
        </w:tc>
        <w:tc>
          <w:tcPr>
            <w:tcW w:type="dxa" w:w="5040"/>
          </w:tcPr>
          <w:p>
            <w:r>
              <w:t>Cancel order</w:t>
            </w:r>
          </w:p>
        </w:tc>
      </w:tr>
      <w:tr>
        <w:tc>
          <w:tcPr>
            <w:tcW w:type="dxa" w:w="5040"/>
          </w:tcPr>
          <w:p>
            <w:r>
              <w:t>ORDER_STATUS</w:t>
            </w:r>
          </w:p>
        </w:tc>
        <w:tc>
          <w:tcPr>
            <w:tcW w:type="dxa" w:w="5040"/>
          </w:tcPr>
          <w:p>
            <w:r>
              <w:t>Query status</w:t>
            </w:r>
          </w:p>
        </w:tc>
      </w:tr>
      <w:tr>
        <w:tc>
          <w:tcPr>
            <w:tcW w:type="dxa" w:w="5040"/>
          </w:tcPr>
          <w:p>
            <w:r>
              <w:t>EXECUTION_UPDATES</w:t>
            </w:r>
          </w:p>
        </w:tc>
        <w:tc>
          <w:tcPr>
            <w:tcW w:type="dxa" w:w="5040"/>
          </w:tcPr>
          <w:p>
            <w:r>
              <w:t>Receive fills/status</w:t>
            </w:r>
          </w:p>
        </w:tc>
      </w:tr>
      <w:tr>
        <w:tc>
          <w:tcPr>
            <w:tcW w:type="dxa" w:w="5040"/>
          </w:tcPr>
          <w:p>
            <w:r>
              <w:t>INSTRUMENT_REFERENCE</w:t>
            </w:r>
          </w:p>
        </w:tc>
        <w:tc>
          <w:tcPr>
            <w:tcW w:type="dxa" w:w="5040"/>
          </w:tcPr>
          <w:p>
            <w:r>
              <w:t>Resolve instrument metadata</w:t>
            </w:r>
          </w:p>
        </w:tc>
      </w:tr>
      <w:tr>
        <w:tc>
          <w:tcPr>
            <w:tcW w:type="dxa" w:w="5040"/>
          </w:tcPr>
          <w:p>
            <w:r>
              <w:t>SIMULATED_FILL</w:t>
            </w:r>
          </w:p>
        </w:tc>
        <w:tc>
          <w:tcPr>
            <w:tcW w:type="dxa" w:w="5040"/>
          </w:tcPr>
          <w:p>
            <w:r>
              <w:t>Generate deterministic simulation fill</w:t>
            </w:r>
          </w:p>
        </w:tc>
      </w:tr>
    </w:tbl>
    <w:p>
      <w:r>
        <w:t>A strategy/runtime component requests a capability contract; the registry resolves an approved provider.</w:t>
      </w:r>
    </w:p>
    <w:p>
      <w:pPr>
        <w:pStyle w:val="Heading1"/>
      </w:pPr>
      <w:r>
        <w:t>10. Broker Plugin Architecture</w:t>
      </w:r>
    </w:p>
    <w:p>
      <w:r>
        <w:rPr>
          <w:rFonts w:ascii="Consolas" w:hAnsi="Consolas"/>
          <w:sz w:val="16"/>
        </w:rPr>
        <w:t>Trade Lifecycle</w:t>
        <w:br/>
        <w:t xml:space="preserve">      │ Approved ExecutionRequest</w:t>
        <w:br/>
        <w:t xml:space="preserve">      ▼</w:t>
        <w:br/>
        <w:t>Broker Execution Contract</w:t>
        <w:br/>
        <w:t xml:space="preserve">      │</w:t>
        <w:br/>
        <w:t xml:space="preserve">      ▼</w:t>
        <w:br/>
        <w:t>Broker Plugin</w:t>
        <w:br/>
        <w:t xml:space="preserve">      │</w:t>
        <w:br/>
        <w:t xml:space="preserve">      ├── Vendor SDK / supplied JAR</w:t>
        <w:br/>
        <w:t xml:space="preserve">      ├── Authentication</w:t>
        <w:br/>
        <w:t xml:space="preserve">      ├── Request mapping</w:t>
        <w:br/>
        <w:t xml:space="preserve">      └── Response mapping</w:t>
        <w:br/>
        <w:t xml:space="preserve">      │</w:t>
        <w:br/>
        <w:t xml:space="preserve">      ▼</w:t>
        <w:br/>
        <w:t>Broker</w:t>
        <w:br/>
        <w:t xml:space="preserve">      │</w:t>
        <w:br/>
        <w:t xml:space="preserve">      ▼</w:t>
        <w:br/>
        <w:t>Execution Update Contract</w:t>
        <w:br/>
        <w:t xml:space="preserve">      │</w:t>
        <w:br/>
        <w:t xml:space="preserve">      ▼</w:t>
        <w:br/>
        <w:t>Trade Lifecycle</w:t>
      </w:r>
    </w:p>
    <w:p>
      <w:r>
        <w:t>The broker-provided JAR belongs inside the adapter boundary. Core strategy components should not import vendor-specific classes.</w:t>
      </w:r>
    </w:p>
    <w:p>
      <w:pPr>
        <w:pStyle w:val="Heading1"/>
      </w:pPr>
      <w:r>
        <w:t>11. Broker JAR Isolation</w:t>
      </w:r>
    </w:p>
    <w:p>
      <w:pPr>
        <w:pStyle w:val="ListBullet"/>
      </w:pPr>
      <w:r>
        <w:t>Keep broker/vendor dependencies inside the broker plugin module/container where practical.</w:t>
      </w:r>
    </w:p>
    <w:p>
      <w:pPr>
        <w:pStyle w:val="ListBullet"/>
      </w:pPr>
      <w:r>
        <w:t>Expose only platform-defined request/response models to the core.</w:t>
      </w:r>
    </w:p>
    <w:p>
      <w:pPr>
        <w:pStyle w:val="ListBullet"/>
      </w:pPr>
      <w:r>
        <w:t>Do not persist vendor SDK objects.</w:t>
      </w:r>
    </w:p>
    <w:p>
      <w:pPr>
        <w:pStyle w:val="ListBullet"/>
      </w:pPr>
      <w:r>
        <w:t>Normalize vendor exceptions into platform error categories.</w:t>
      </w:r>
    </w:p>
    <w:p>
      <w:pPr>
        <w:pStyle w:val="ListBullet"/>
      </w:pPr>
      <w:r>
        <w:t>Keep vendor-specific retry/rate-limit behavior within the adapter unless a platform-wide policy applies.</w:t>
      </w:r>
    </w:p>
    <w:p>
      <w:pPr>
        <w:pStyle w:val="ListBullet"/>
      </w:pPr>
      <w:r>
        <w:t>Record broker adapter version and vendor SDK version in telemetry and deployment metadata.</w:t>
      </w:r>
    </w:p>
    <w:p>
      <w:pPr>
        <w:pStyle w:val="Heading1"/>
      </w:pPr>
      <w:r>
        <w:t>12. Market Data Plugin</w:t>
      </w:r>
    </w:p>
    <w:p>
      <w:r>
        <w:rPr>
          <w:rFonts w:ascii="Consolas" w:hAnsi="Consolas"/>
          <w:sz w:val="16"/>
        </w:rPr>
        <w:t>Vendor Stream</w:t>
        <w:br/>
        <w:t xml:space="preserve">   ↓</w:t>
        <w:br/>
        <w:t>Market Data Plugin</w:t>
        <w:br/>
        <w:t xml:space="preserve">   ↓</w:t>
        <w:br/>
        <w:t>Raw Event</w:t>
        <w:br/>
        <w:t xml:space="preserve">   ↓</w:t>
        <w:br/>
        <w:t>Normalizer</w:t>
        <w:br/>
        <w:t xml:space="preserve">   ↓</w:t>
        <w:br/>
        <w:t>Normalized Market Observation</w:t>
        <w:br/>
        <w:t xml:space="preserve">   ├──→ Observation Store</w:t>
        <w:br/>
        <w:t xml:space="preserve">   └──→ Dispatcher → Execution Mailbox</w:t>
      </w:r>
    </w:p>
    <w:p>
      <w:r>
        <w:t>Every normalized observation remains persistable independently of whether it produces a candidate trade. The plugin must not decide whether an observation is strategically interesting.</w:t>
      </w:r>
    </w:p>
    <w:p>
      <w:pPr>
        <w:pStyle w:val="Heading1"/>
      </w:pPr>
      <w:r>
        <w:t>13. Indicator Plugin Contract</w:t>
      </w:r>
    </w:p>
    <w:p>
      <w:r>
        <w:rPr>
          <w:rFonts w:ascii="Consolas" w:hAnsi="Consolas"/>
          <w:sz w:val="16"/>
        </w:rPr>
        <w:t>interface IndicatorPlugin {</w:t>
        <w:br/>
        <w:t xml:space="preserve">    IndicatorDescriptor descriptor();</w:t>
        <w:br/>
        <w:t xml:space="preserve">    IndicatorState initialize(IndicatorConfig config);</w:t>
        <w:br/>
        <w:t xml:space="preserve">    IndicatorResult update(</w:t>
        <w:br/>
        <w:t xml:space="preserve">        IndicatorState state,</w:t>
        <w:br/>
        <w:t xml:space="preserve">        NormalizedObservation observation</w:t>
        <w:br/>
        <w:t xml:space="preserve">    );</w:t>
        <w:br/>
        <w:t>}</w:t>
      </w:r>
    </w:p>
    <w:p>
      <w:pPr>
        <w:pStyle w:val="ListBullet"/>
      </w:pPr>
      <w:r>
        <w:t>Input and output types are platform-owned.</w:t>
      </w:r>
    </w:p>
    <w:p>
      <w:pPr>
        <w:pStyle w:val="ListBullet"/>
      </w:pPr>
      <w:r>
        <w:t>Plugin must declare warm-up requirements.</w:t>
      </w:r>
    </w:p>
    <w:p>
      <w:pPr>
        <w:pStyle w:val="ListBullet"/>
      </w:pPr>
      <w:r>
        <w:t>Plugin must declare parameter schema and semantic version.</w:t>
      </w:r>
    </w:p>
    <w:p>
      <w:pPr>
        <w:pStyle w:val="ListBullet"/>
      </w:pPr>
      <w:r>
        <w:t>Plugin must be deterministic for the same input/state/version.</w:t>
      </w:r>
    </w:p>
    <w:p>
      <w:pPr>
        <w:pStyle w:val="ListBullet"/>
      </w:pPr>
      <w:r>
        <w:t>Plugin must not call broker/execution APIs.</w:t>
      </w:r>
    </w:p>
    <w:p>
      <w:pPr>
        <w:pStyle w:val="Heading1"/>
      </w:pPr>
      <w:r>
        <w:t>14. Execution Plugin Contract</w:t>
      </w:r>
    </w:p>
    <w:p>
      <w:r>
        <w:rPr>
          <w:rFonts w:ascii="Consolas" w:hAnsi="Consolas"/>
          <w:sz w:val="16"/>
        </w:rPr>
        <w:t>interface ExecutionAdapter {</w:t>
        <w:br/>
        <w:t xml:space="preserve">    ExecutionCapabilities capabilities();</w:t>
        <w:br/>
        <w:t xml:space="preserve">    SubmitResult submit(ExecutionRequest request);</w:t>
        <w:br/>
        <w:t xml:space="preserve">    CancelResult cancel(CancelRequest request);</w:t>
        <w:br/>
        <w:t xml:space="preserve">    ExternalOrderStatus query(OrderQuery request);</w:t>
        <w:br/>
        <w:t>}</w:t>
      </w:r>
    </w:p>
    <w:p>
      <w:r>
        <w:t>The adapter does not decide whether an order is strategically appropriate. It executes only an already approved Trade Lifecycle request.</w:t>
      </w:r>
    </w:p>
    <w:p>
      <w:pPr>
        <w:pStyle w:val="Heading1"/>
      </w:pPr>
      <w:r>
        <w:t>15. Execution Update Contract</w:t>
      </w:r>
    </w:p>
    <w:p>
      <w:r>
        <w:rPr>
          <w:rFonts w:ascii="Consolas" w:hAnsi="Consolas"/>
          <w:sz w:val="16"/>
        </w:rPr>
        <w:t>interface ExecutionUpdateAdapter {</w:t>
        <w:br/>
        <w:t xml:space="preserve">    List&lt;ExecutionUpdate&gt; pollOrReceive();</w:t>
        <w:br/>
        <w:t xml:space="preserve">    ExecutionUpdate normalize(VendorExecutionEvent event);</w:t>
        <w:br/>
        <w:t>}</w:t>
      </w:r>
    </w:p>
    <w:p>
      <w:r>
        <w:t>Execution updates are normalized before entering Trade Lifecycle state transitions. Duplicate external event IDs must be handled idempotently.</w:t>
      </w:r>
    </w:p>
    <w:p>
      <w:pPr>
        <w:pStyle w:val="Heading1"/>
      </w:pPr>
      <w:r>
        <w:t>16. Simulation Plugin</w:t>
      </w:r>
    </w:p>
    <w:p>
      <w:r>
        <w:rPr>
          <w:rFonts w:ascii="Consolas" w:hAnsi="Consolas"/>
          <w:sz w:val="16"/>
        </w:rPr>
        <w:t>Simulation Adapter</w:t>
        <w:br/>
        <w:t xml:space="preserve">   ├── deterministic fill model</w:t>
        <w:br/>
        <w:t xml:space="preserve">   ├── configurable slippage</w:t>
        <w:br/>
        <w:t xml:space="preserve">   ├── configurable fees</w:t>
        <w:br/>
        <w:t xml:space="preserve">   ├── latency model</w:t>
        <w:br/>
        <w:t xml:space="preserve">   └── partial-fill model</w:t>
      </w:r>
    </w:p>
    <w:p>
      <w:r>
        <w:t>Simulation plugins are explicitly marked non-live and cannot satisfy a live execution capability.</w:t>
      </w:r>
    </w:p>
    <w:p>
      <w:pPr>
        <w:pStyle w:val="Heading1"/>
      </w:pPr>
      <w:r>
        <w:t>17. Plugin and Strategy DSL</w:t>
      </w:r>
    </w:p>
    <w:p>
      <w:r>
        <w:t>The DSL should refer to logical capabilities, indicators and policies—not implementation classes or vendor SDK types.</w:t>
      </w:r>
    </w:p>
    <w:p>
      <w:r>
        <w:rPr>
          <w:rFonts w:ascii="Consolas" w:hAnsi="Consolas"/>
          <w:sz w:val="16"/>
        </w:rPr>
        <w:t>indicator RSI14 using rsi(period=14)</w:t>
        <w:br/>
        <w:br/>
        <w:t>execution.buy(</w:t>
        <w:br/>
        <w:t xml:space="preserve">    quantity = allocation.quantity,</w:t>
        <w:br/>
        <w:t xml:space="preserve">    orderType = MARKET</w:t>
        <w:br/>
        <w:t>)</w:t>
      </w:r>
    </w:p>
    <w:p>
      <w:r>
        <w:t>The compiler resolves logical references to approved runtime providers. A strategy version captures the resolved capability/dependency contract needed for reproducibility.</w:t>
      </w:r>
    </w:p>
    <w:p>
      <w:pPr>
        <w:pStyle w:val="Heading1"/>
      </w:pPr>
      <w:r>
        <w:t>18. Plugin Resolution</w:t>
      </w:r>
    </w:p>
    <w:p>
      <w:r>
        <w:rPr>
          <w:rFonts w:ascii="Consolas" w:hAnsi="Consolas"/>
          <w:sz w:val="16"/>
        </w:rPr>
        <w:t>StrategyVersion</w:t>
        <w:br/>
        <w:t xml:space="preserve">      ↓</w:t>
        <w:br/>
        <w:t>CompiledPlan</w:t>
        <w:br/>
        <w:t xml:space="preserve">      ↓</w:t>
        <w:br/>
        <w:t>Required Capabilities</w:t>
        <w:br/>
        <w:t xml:space="preserve">      ↓</w:t>
        <w:br/>
        <w:t>Plugin Registry</w:t>
        <w:br/>
        <w:t xml:space="preserve">      ↓</w:t>
        <w:br/>
        <w:t>Approved Plugin Version</w:t>
        <w:br/>
        <w:t xml:space="preserve">      ↓</w:t>
        <w:br/>
        <w:t>Runtime Binding</w:t>
      </w:r>
    </w:p>
    <w:p>
      <w:pPr>
        <w:pStyle w:val="ListBullet"/>
      </w:pPr>
      <w:r>
        <w:t>Resolve before StrategyExecution becomes ACTIVE.</w:t>
      </w:r>
    </w:p>
    <w:p>
      <w:pPr>
        <w:pStyle w:val="ListBullet"/>
      </w:pPr>
      <w:r>
        <w:t>Fail activation if a mandatory capability has no compatible approved plugin.</w:t>
      </w:r>
    </w:p>
    <w:p>
      <w:pPr>
        <w:pStyle w:val="ListBullet"/>
      </w:pPr>
      <w:r>
        <w:t>Do not dynamically swap a plugin version in the middle of an active execution without an explicit lifecycle policy.</w:t>
      </w:r>
    </w:p>
    <w:p>
      <w:pPr>
        <w:pStyle w:val="ListBullet"/>
      </w:pPr>
      <w:r>
        <w:t>Capture plugin versions in execution metadata.</w:t>
      </w:r>
    </w:p>
    <w:p>
      <w:pPr>
        <w:pStyle w:val="Heading1"/>
      </w:pPr>
      <w:r>
        <w:t>19. Plugin Version Compatibility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Compatibility Check</w:t>
            </w:r>
          </w:p>
        </w:tc>
        <w:tc>
          <w:tcPr>
            <w:tcW w:type="dxa" w:w="5040"/>
          </w:tcPr>
          <w:p>
            <w:r>
              <w:t>Required Behavior</w:t>
            </w:r>
          </w:p>
        </w:tc>
      </w:tr>
      <w:tr>
        <w:tc>
          <w:tcPr>
            <w:tcW w:type="dxa" w:w="5040"/>
          </w:tcPr>
          <w:p>
            <w:r>
              <w:t>API version</w:t>
            </w:r>
          </w:p>
        </w:tc>
        <w:tc>
          <w:tcPr>
            <w:tcW w:type="dxa" w:w="5040"/>
          </w:tcPr>
          <w:p>
            <w:r>
              <w:t>Major incompatibility blocks activation</w:t>
            </w:r>
          </w:p>
        </w:tc>
      </w:tr>
      <w:tr>
        <w:tc>
          <w:tcPr>
            <w:tcW w:type="dxa" w:w="5040"/>
          </w:tcPr>
          <w:p>
            <w:r>
              <w:t>Capability</w:t>
            </w:r>
          </w:p>
        </w:tc>
        <w:tc>
          <w:tcPr>
            <w:tcW w:type="dxa" w:w="5040"/>
          </w:tcPr>
          <w:p>
            <w:r>
              <w:t>Missing required capability blocks activation</w:t>
            </w:r>
          </w:p>
        </w:tc>
      </w:tr>
      <w:tr>
        <w:tc>
          <w:tcPr>
            <w:tcW w:type="dxa" w:w="5040"/>
          </w:tcPr>
          <w:p>
            <w:r>
              <w:t>Config schema</w:t>
            </w:r>
          </w:p>
        </w:tc>
        <w:tc>
          <w:tcPr>
            <w:tcW w:type="dxa" w:w="5040"/>
          </w:tcPr>
          <w:p>
            <w:r>
              <w:t>Unsupported schema blocks activation</w:t>
            </w:r>
          </w:p>
        </w:tc>
      </w:tr>
      <w:tr>
        <w:tc>
          <w:tcPr>
            <w:tcW w:type="dxa" w:w="5040"/>
          </w:tcPr>
          <w:p>
            <w:r>
              <w:t>Strategy dependency</w:t>
            </w:r>
          </w:p>
        </w:tc>
        <w:tc>
          <w:tcPr>
            <w:tcW w:type="dxa" w:w="5040"/>
          </w:tcPr>
          <w:p>
            <w:r>
              <w:t>Incompatible semantic version blocks activation</w:t>
            </w:r>
          </w:p>
        </w:tc>
      </w:tr>
      <w:tr>
        <w:tc>
          <w:tcPr>
            <w:tcW w:type="dxa" w:w="5040"/>
          </w:tcPr>
          <w:p>
            <w:r>
              <w:t>Runtime/JDK</w:t>
            </w:r>
          </w:p>
        </w:tc>
        <w:tc>
          <w:tcPr>
            <w:tcW w:type="dxa" w:w="5040"/>
          </w:tcPr>
          <w:p>
            <w:r>
              <w:t>Unsupported runtime blocks deployment</w:t>
            </w:r>
          </w:p>
        </w:tc>
      </w:tr>
      <w:tr>
        <w:tc>
          <w:tcPr>
            <w:tcW w:type="dxa" w:w="5040"/>
          </w:tcPr>
          <w:p>
            <w:r>
              <w:t>Broker SDK</w:t>
            </w:r>
          </w:p>
        </w:tc>
        <w:tc>
          <w:tcPr>
            <w:tcW w:type="dxa" w:w="5040"/>
          </w:tcPr>
          <w:p>
            <w:r>
              <w:t>Adapter declares compatible SDK version</w:t>
            </w:r>
          </w:p>
        </w:tc>
      </w:tr>
      <w:tr>
        <w:tc>
          <w:tcPr>
            <w:tcW w:type="dxa" w:w="5040"/>
          </w:tcPr>
          <w:p>
            <w:r>
              <w:t>Plugin signature/checksum</w:t>
            </w:r>
          </w:p>
        </w:tc>
        <w:tc>
          <w:tcPr>
            <w:tcW w:type="dxa" w:w="5040"/>
          </w:tcPr>
          <w:p>
            <w:r>
              <w:t>Mismatch blocks registration</w:t>
            </w:r>
          </w:p>
        </w:tc>
      </w:tr>
    </w:tbl>
    <w:p>
      <w:pPr>
        <w:pStyle w:val="Heading1"/>
      </w:pPr>
      <w:r>
        <w:t>20. Plugin Upgrade Strategy</w:t>
      </w:r>
    </w:p>
    <w:p>
      <w:r>
        <w:rPr>
          <w:rFonts w:ascii="Consolas" w:hAnsi="Consolas"/>
          <w:sz w:val="16"/>
        </w:rPr>
        <w:t>v1 ACTIVE</w:t>
        <w:br/>
        <w:t xml:space="preserve">   │</w:t>
        <w:br/>
        <w:t xml:space="preserve">   ├── install v2</w:t>
        <w:br/>
        <w:t xml:space="preserve">   ▼</w:t>
        <w:br/>
        <w:t>v2 VALIDATED</w:t>
        <w:br/>
        <w:t xml:space="preserve">   │</w:t>
        <w:br/>
        <w:t xml:space="preserve">   ├── canary/new executions</w:t>
        <w:br/>
        <w:t xml:space="preserve">   ▼</w:t>
        <w:br/>
        <w:t>v2 ENABLED</w:t>
        <w:br/>
        <w:t xml:space="preserve">   │</w:t>
        <w:br/>
        <w:t xml:space="preserve">   ├── controlled migration</w:t>
        <w:br/>
        <w:t xml:space="preserve">   ▼</w:t>
        <w:br/>
        <w:t>v2 ACTIVE</w:t>
        <w:br/>
        <w:t xml:space="preserve">   │</w:t>
        <w:br/>
        <w:t>v1 → DISABLED/RETAINED</w:t>
      </w:r>
    </w:p>
    <w:p>
      <w:pPr>
        <w:pStyle w:val="ListBullet"/>
      </w:pPr>
      <w:r>
        <w:t>Existing executions retain their pinned plugin version where required for reproducibility.</w:t>
      </w:r>
    </w:p>
    <w:p>
      <w:pPr>
        <w:pStyle w:val="ListBullet"/>
      </w:pPr>
      <w:r>
        <w:t>New executions can be assigned the newer version after validation.</w:t>
      </w:r>
    </w:p>
    <w:p>
      <w:pPr>
        <w:pStyle w:val="ListBullet"/>
      </w:pPr>
      <w:r>
        <w:t>Rollback restores the previous approved plugin version.</w:t>
      </w:r>
    </w:p>
    <w:p>
      <w:pPr>
        <w:pStyle w:val="ListBullet"/>
      </w:pPr>
      <w:r>
        <w:t>Broker plugin upgrades are treated separately from strategy version changes.</w:t>
      </w:r>
    </w:p>
    <w:p>
      <w:pPr>
        <w:pStyle w:val="Heading1"/>
      </w:pPr>
      <w:r>
        <w:t>21. Plugin Configuration</w:t>
      </w:r>
    </w:p>
    <w:p>
      <w:r>
        <w:t>Plugin configuration is externalized and versioned; secrets are not stored in strategy definitions.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Configuration</w:t>
            </w:r>
          </w:p>
        </w:tc>
        <w:tc>
          <w:tcPr>
            <w:tcW w:type="dxa" w:w="5040"/>
          </w:tcPr>
          <w:p>
            <w:r>
              <w:t>Examples</w:t>
            </w:r>
          </w:p>
        </w:tc>
      </w:tr>
      <w:tr>
        <w:tc>
          <w:tcPr>
            <w:tcW w:type="dxa" w:w="5040"/>
          </w:tcPr>
          <w:p>
            <w:r>
              <w:t>Connection</w:t>
            </w:r>
          </w:p>
        </w:tc>
        <w:tc>
          <w:tcPr>
            <w:tcW w:type="dxa" w:w="5040"/>
          </w:tcPr>
          <w:p>
            <w:r>
              <w:t>Endpoint, environment, timeout</w:t>
            </w:r>
          </w:p>
        </w:tc>
      </w:tr>
      <w:tr>
        <w:tc>
          <w:tcPr>
            <w:tcW w:type="dxa" w:w="5040"/>
          </w:tcPr>
          <w:p>
            <w:r>
              <w:t>Authentication</w:t>
            </w:r>
          </w:p>
        </w:tc>
        <w:tc>
          <w:tcPr>
            <w:tcW w:type="dxa" w:w="5040"/>
          </w:tcPr>
          <w:p>
            <w:r>
              <w:t>Secret reference, token reference</w:t>
            </w:r>
          </w:p>
        </w:tc>
      </w:tr>
      <w:tr>
        <w:tc>
          <w:tcPr>
            <w:tcW w:type="dxa" w:w="5040"/>
          </w:tcPr>
          <w:p>
            <w:r>
              <w:t>Rate limit</w:t>
            </w:r>
          </w:p>
        </w:tc>
        <w:tc>
          <w:tcPr>
            <w:tcW w:type="dxa" w:w="5040"/>
          </w:tcPr>
          <w:p>
            <w:r>
              <w:t>Provider request limits</w:t>
            </w:r>
          </w:p>
        </w:tc>
      </w:tr>
      <w:tr>
        <w:tc>
          <w:tcPr>
            <w:tcW w:type="dxa" w:w="5040"/>
          </w:tcPr>
          <w:p>
            <w:r>
              <w:t>Retry</w:t>
            </w:r>
          </w:p>
        </w:tc>
        <w:tc>
          <w:tcPr>
            <w:tcW w:type="dxa" w:w="5040"/>
          </w:tcPr>
          <w:p>
            <w:r>
              <w:t>Bounded retry policy</w:t>
            </w:r>
          </w:p>
        </w:tc>
      </w:tr>
      <w:tr>
        <w:tc>
          <w:tcPr>
            <w:tcW w:type="dxa" w:w="5040"/>
          </w:tcPr>
          <w:p>
            <w:r>
              <w:t>Mapping</w:t>
            </w:r>
          </w:p>
        </w:tc>
        <w:tc>
          <w:tcPr>
            <w:tcW w:type="dxa" w:w="5040"/>
          </w:tcPr>
          <w:p>
            <w:r>
              <w:t>Vendor instrument/order mappings</w:t>
            </w:r>
          </w:p>
        </w:tc>
      </w:tr>
      <w:tr>
        <w:tc>
          <w:tcPr>
            <w:tcW w:type="dxa" w:w="5040"/>
          </w:tcPr>
          <w:p>
            <w:r>
              <w:t>Feature flags</w:t>
            </w:r>
          </w:p>
        </w:tc>
        <w:tc>
          <w:tcPr>
            <w:tcW w:type="dxa" w:w="5040"/>
          </w:tcPr>
          <w:p>
            <w:r>
              <w:t>Optional capabilities</w:t>
            </w:r>
          </w:p>
        </w:tc>
      </w:tr>
      <w:tr>
        <w:tc>
          <w:tcPr>
            <w:tcW w:type="dxa" w:w="5040"/>
          </w:tcPr>
          <w:p>
            <w:r>
              <w:t>Operational</w:t>
            </w:r>
          </w:p>
        </w:tc>
        <w:tc>
          <w:tcPr>
            <w:tcW w:type="dxa" w:w="5040"/>
          </w:tcPr>
          <w:p>
            <w:r>
              <w:t>Health-check interval, timeout</w:t>
            </w:r>
          </w:p>
        </w:tc>
      </w:tr>
    </w:tbl>
    <w:p>
      <w:r>
        <w:t>Sensitive values should reference a managed secret store rather than being persisted as plaintext.</w:t>
      </w:r>
    </w:p>
    <w:p>
      <w:pPr>
        <w:pStyle w:val="Heading1"/>
      </w:pPr>
      <w:r>
        <w:t>22. Plugin Security Model</w:t>
      </w:r>
    </w:p>
    <w:p>
      <w:pPr>
        <w:pStyle w:val="ListBullet"/>
      </w:pPr>
      <w:r>
        <w:t>Only approved plugin artifacts may be deployed.</w:t>
      </w:r>
    </w:p>
    <w:p>
      <w:pPr>
        <w:pStyle w:val="ListBullet"/>
      </w:pPr>
      <w:r>
        <w:t>Verify checksum/signature before registration.</w:t>
      </w:r>
    </w:p>
    <w:p>
      <w:pPr>
        <w:pStyle w:val="ListBullet"/>
      </w:pPr>
      <w:r>
        <w:t>Use least-privilege service identities.</w:t>
      </w:r>
    </w:p>
    <w:p>
      <w:pPr>
        <w:pStyle w:val="ListBullet"/>
      </w:pPr>
      <w:r>
        <w:t>Broker plugins receive only the permissions required for their functions.</w:t>
      </w:r>
    </w:p>
    <w:p>
      <w:pPr>
        <w:pStyle w:val="ListBullet"/>
      </w:pPr>
      <w:r>
        <w:t>Separate live and simulation credentials/configuration.</w:t>
      </w:r>
    </w:p>
    <w:p>
      <w:pPr>
        <w:pStyle w:val="ListBullet"/>
      </w:pPr>
      <w:r>
        <w:t>Restrict network egress where practical.</w:t>
      </w:r>
    </w:p>
    <w:p>
      <w:pPr>
        <w:pStyle w:val="ListBullet"/>
      </w:pPr>
      <w:r>
        <w:t>Do not permit runtime class loading from user-supplied strategy content.</w:t>
      </w:r>
    </w:p>
    <w:p>
      <w:pPr>
        <w:pStyle w:val="ListBullet"/>
      </w:pPr>
      <w:r>
        <w:t>Log plugin security and lifecycle events.</w:t>
      </w:r>
    </w:p>
    <w:p>
      <w:pPr>
        <w:pStyle w:val="Heading1"/>
      </w:pPr>
      <w:r>
        <w:t>23. Plugin Isolation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Isolation Level</w:t>
            </w:r>
          </w:p>
        </w:tc>
        <w:tc>
          <w:tcPr>
            <w:tcW w:type="dxa" w:w="5040"/>
          </w:tcPr>
          <w:p>
            <w:r>
              <w:t>Recommendation</w:t>
            </w:r>
          </w:p>
        </w:tc>
      </w:tr>
      <w:tr>
        <w:tc>
          <w:tcPr>
            <w:tcW w:type="dxa" w:w="5040"/>
          </w:tcPr>
          <w:p>
            <w:r>
              <w:t>Process/container</w:t>
            </w:r>
          </w:p>
        </w:tc>
        <w:tc>
          <w:tcPr>
            <w:tcW w:type="dxa" w:w="5040"/>
          </w:tcPr>
          <w:p>
            <w:r>
              <w:t>Preferred for broker/vendor plugins with complex SDK dependencies</w:t>
            </w:r>
          </w:p>
        </w:tc>
      </w:tr>
      <w:tr>
        <w:tc>
          <w:tcPr>
            <w:tcW w:type="dxa" w:w="5040"/>
          </w:tcPr>
          <w:p>
            <w:r>
              <w:t>Class/module</w:t>
            </w:r>
          </w:p>
        </w:tc>
        <w:tc>
          <w:tcPr>
            <w:tcW w:type="dxa" w:w="5040"/>
          </w:tcPr>
          <w:p>
            <w:r>
              <w:t>Acceptable for trusted first-party indicators</w:t>
            </w:r>
          </w:p>
        </w:tc>
      </w:tr>
      <w:tr>
        <w:tc>
          <w:tcPr>
            <w:tcW w:type="dxa" w:w="5040"/>
          </w:tcPr>
          <w:p>
            <w:r>
              <w:t>Network</w:t>
            </w:r>
          </w:p>
        </w:tc>
        <w:tc>
          <w:tcPr>
            <w:tcW w:type="dxa" w:w="5040"/>
          </w:tcPr>
          <w:p>
            <w:r>
              <w:t>Required boundary for remote providers</w:t>
            </w:r>
          </w:p>
        </w:tc>
      </w:tr>
      <w:tr>
        <w:tc>
          <w:tcPr>
            <w:tcW w:type="dxa" w:w="5040"/>
          </w:tcPr>
          <w:p>
            <w:r>
              <w:t>Data</w:t>
            </w:r>
          </w:p>
        </w:tc>
        <w:tc>
          <w:tcPr>
            <w:tcW w:type="dxa" w:w="5040"/>
          </w:tcPr>
          <w:p>
            <w:r>
              <w:t>Plugin receives only required contract data</w:t>
            </w:r>
          </w:p>
        </w:tc>
      </w:tr>
      <w:tr>
        <w:tc>
          <w:tcPr>
            <w:tcW w:type="dxa" w:w="5040"/>
          </w:tcPr>
          <w:p>
            <w:r>
              <w:t>Credential</w:t>
            </w:r>
          </w:p>
        </w:tc>
        <w:tc>
          <w:tcPr>
            <w:tcW w:type="dxa" w:w="5040"/>
          </w:tcPr>
          <w:p>
            <w:r>
              <w:t>Dedicated provider/service identity</w:t>
            </w:r>
          </w:p>
        </w:tc>
      </w:tr>
    </w:tbl>
    <w:p>
      <w:r>
        <w:t>The initial implementation should favor container-level isolation for broker adapters, particularly when vendors provide their own JARs and transitive dependencies.</w:t>
      </w:r>
    </w:p>
    <w:p>
      <w:pPr>
        <w:pStyle w:val="Heading1"/>
      </w:pPr>
      <w:r>
        <w:t>24. Observability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Purpose</w:t>
            </w:r>
          </w:p>
        </w:tc>
      </w:tr>
      <w:tr>
        <w:tc>
          <w:tcPr>
            <w:tcW w:type="dxa" w:w="5040"/>
          </w:tcPr>
          <w:p>
            <w:r>
              <w:t>plugin_call_total</w:t>
            </w:r>
          </w:p>
        </w:tc>
        <w:tc>
          <w:tcPr>
            <w:tcW w:type="dxa" w:w="5040"/>
          </w:tcPr>
          <w:p>
            <w:r>
              <w:t>Invocation count</w:t>
            </w:r>
          </w:p>
        </w:tc>
      </w:tr>
      <w:tr>
        <w:tc>
          <w:tcPr>
            <w:tcW w:type="dxa" w:w="5040"/>
          </w:tcPr>
          <w:p>
            <w:r>
              <w:t>plugin_call_duration</w:t>
            </w:r>
          </w:p>
        </w:tc>
        <w:tc>
          <w:tcPr>
            <w:tcW w:type="dxa" w:w="5040"/>
          </w:tcPr>
          <w:p>
            <w:r>
              <w:t>Latency</w:t>
            </w:r>
          </w:p>
        </w:tc>
      </w:tr>
      <w:tr>
        <w:tc>
          <w:tcPr>
            <w:tcW w:type="dxa" w:w="5040"/>
          </w:tcPr>
          <w:p>
            <w:r>
              <w:t>plugin_error_total</w:t>
            </w:r>
          </w:p>
        </w:tc>
        <w:tc>
          <w:tcPr>
            <w:tcW w:type="dxa" w:w="5040"/>
          </w:tcPr>
          <w:p>
            <w:r>
              <w:t>Failures by category</w:t>
            </w:r>
          </w:p>
        </w:tc>
      </w:tr>
      <w:tr>
        <w:tc>
          <w:tcPr>
            <w:tcW w:type="dxa" w:w="5040"/>
          </w:tcPr>
          <w:p>
            <w:r>
              <w:t>plugin_timeout_total</w:t>
            </w:r>
          </w:p>
        </w:tc>
        <w:tc>
          <w:tcPr>
            <w:tcW w:type="dxa" w:w="5040"/>
          </w:tcPr>
          <w:p>
            <w:r>
              <w:t>Timeouts</w:t>
            </w:r>
          </w:p>
        </w:tc>
      </w:tr>
      <w:tr>
        <w:tc>
          <w:tcPr>
            <w:tcW w:type="dxa" w:w="5040"/>
          </w:tcPr>
          <w:p>
            <w:r>
              <w:t>plugin_rate_limit_total</w:t>
            </w:r>
          </w:p>
        </w:tc>
        <w:tc>
          <w:tcPr>
            <w:tcW w:type="dxa" w:w="5040"/>
          </w:tcPr>
          <w:p>
            <w:r>
              <w:t>Provider throttling</w:t>
            </w:r>
          </w:p>
        </w:tc>
      </w:tr>
      <w:tr>
        <w:tc>
          <w:tcPr>
            <w:tcW w:type="dxa" w:w="5040"/>
          </w:tcPr>
          <w:p>
            <w:r>
              <w:t>plugin_health_status</w:t>
            </w:r>
          </w:p>
        </w:tc>
        <w:tc>
          <w:tcPr>
            <w:tcW w:type="dxa" w:w="5040"/>
          </w:tcPr>
          <w:p>
            <w:r>
              <w:t>Current health</w:t>
            </w:r>
          </w:p>
        </w:tc>
      </w:tr>
      <w:tr>
        <w:tc>
          <w:tcPr>
            <w:tcW w:type="dxa" w:w="5040"/>
          </w:tcPr>
          <w:p>
            <w:r>
              <w:t>plugin_version_info</w:t>
            </w:r>
          </w:p>
        </w:tc>
        <w:tc>
          <w:tcPr>
            <w:tcW w:type="dxa" w:w="5040"/>
          </w:tcPr>
          <w:p>
            <w:r>
              <w:t>Active version</w:t>
            </w:r>
          </w:p>
        </w:tc>
      </w:tr>
      <w:tr>
        <w:tc>
          <w:tcPr>
            <w:tcW w:type="dxa" w:w="5040"/>
          </w:tcPr>
          <w:p>
            <w:r>
              <w:t>plugin_fallback_total</w:t>
            </w:r>
          </w:p>
        </w:tc>
        <w:tc>
          <w:tcPr>
            <w:tcW w:type="dxa" w:w="5040"/>
          </w:tcPr>
          <w:p>
            <w:r>
              <w:t>Fallback usage</w:t>
            </w:r>
          </w:p>
        </w:tc>
      </w:tr>
      <w:tr>
        <w:tc>
          <w:tcPr>
            <w:tcW w:type="dxa" w:w="5040"/>
          </w:tcPr>
          <w:p>
            <w:r>
              <w:t>broker_external_request_total</w:t>
            </w:r>
          </w:p>
        </w:tc>
        <w:tc>
          <w:tcPr>
            <w:tcW w:type="dxa" w:w="5040"/>
          </w:tcPr>
          <w:p>
            <w:r>
              <w:t>External request volume</w:t>
            </w:r>
          </w:p>
        </w:tc>
      </w:tr>
    </w:tbl>
    <w:p>
      <w:r>
        <w:t>High-cardinality dimensions such as instrument should be used selectively.</w:t>
      </w:r>
    </w:p>
    <w:p>
      <w:pPr>
        <w:pStyle w:val="Heading1"/>
      </w:pPr>
      <w:r>
        <w:t>25. Plugin Logging</w:t>
      </w:r>
    </w:p>
    <w:p>
      <w:r>
        <w:rPr>
          <w:rFonts w:ascii="Consolas" w:hAnsi="Consolas"/>
          <w:sz w:val="16"/>
        </w:rPr>
        <w:t>{</w:t>
        <w:br/>
        <w:t xml:space="preserve">  "event": "PLUGIN_CALL",</w:t>
        <w:br/>
        <w:t xml:space="preserve">  "pluginId": "broker.example",</w:t>
        <w:br/>
        <w:t xml:space="preserve">  "pluginVersion": "1.4.2",</w:t>
        <w:br/>
        <w:t xml:space="preserve">  "capability": "ORDER_PLACE",</w:t>
        <w:br/>
        <w:t xml:space="preserve">  "correlationId": "...",</w:t>
        <w:br/>
        <w:t xml:space="preserve">  "tradeId": "...",</w:t>
        <w:br/>
        <w:t xml:space="preserve">  "durationMs": 42,</w:t>
        <w:br/>
        <w:t xml:space="preserve">  "status": "SUCCESS"</w:t>
        <w:br/>
        <w:t>}</w:t>
      </w:r>
    </w:p>
    <w:p>
      <w:pPr>
        <w:pStyle w:val="ListBullet"/>
      </w:pPr>
      <w:r>
        <w:t>Never log credentials or authorization tokens.</w:t>
      </w:r>
    </w:p>
    <w:p>
      <w:pPr>
        <w:pStyle w:val="ListBullet"/>
      </w:pPr>
      <w:r>
        <w:t>Never log full vendor responses by default.</w:t>
      </w:r>
    </w:p>
    <w:p>
      <w:pPr>
        <w:pStyle w:val="ListBullet"/>
      </w:pPr>
      <w:r>
        <w:t>Use controlled debug logging for vendor payload troubleshooting.</w:t>
      </w:r>
    </w:p>
    <w:p>
      <w:pPr>
        <w:pStyle w:val="ListBullet"/>
      </w:pPr>
      <w:r>
        <w:t>Retain external request IDs for reconciliation.</w:t>
      </w:r>
    </w:p>
    <w:p>
      <w:pPr>
        <w:pStyle w:val="Heading1"/>
      </w:pPr>
      <w:r>
        <w:t>26. Failure Handling</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Failure</w:t>
            </w:r>
          </w:p>
        </w:tc>
        <w:tc>
          <w:tcPr>
            <w:tcW w:type="dxa" w:w="5040"/>
          </w:tcPr>
          <w:p>
            <w:r>
              <w:t>Expected Response</w:t>
            </w:r>
          </w:p>
        </w:tc>
      </w:tr>
      <w:tr>
        <w:tc>
          <w:tcPr>
            <w:tcW w:type="dxa" w:w="5040"/>
          </w:tcPr>
          <w:p>
            <w:r>
              <w:t>Plugin timeout</w:t>
            </w:r>
          </w:p>
        </w:tc>
        <w:tc>
          <w:tcPr>
            <w:tcW w:type="dxa" w:w="5040"/>
          </w:tcPr>
          <w:p>
            <w:r>
              <w:t>Bounded retry if policy allows; otherwise controlled failure</w:t>
            </w:r>
          </w:p>
        </w:tc>
      </w:tr>
      <w:tr>
        <w:tc>
          <w:tcPr>
            <w:tcW w:type="dxa" w:w="5040"/>
          </w:tcPr>
          <w:p>
            <w:r>
              <w:t>Rate limit</w:t>
            </w:r>
          </w:p>
        </w:tc>
        <w:tc>
          <w:tcPr>
            <w:tcW w:type="dxa" w:w="5040"/>
          </w:tcPr>
          <w:p>
            <w:r>
              <w:t>Respect provider limit/backoff</w:t>
            </w:r>
          </w:p>
        </w:tc>
      </w:tr>
      <w:tr>
        <w:tc>
          <w:tcPr>
            <w:tcW w:type="dxa" w:w="5040"/>
          </w:tcPr>
          <w:p>
            <w:r>
              <w:t>Authentication failure</w:t>
            </w:r>
          </w:p>
        </w:tc>
        <w:tc>
          <w:tcPr>
            <w:tcW w:type="dxa" w:w="5040"/>
          </w:tcPr>
          <w:p>
            <w:r>
              <w:t>Fail closed; alert</w:t>
            </w:r>
          </w:p>
        </w:tc>
      </w:tr>
      <w:tr>
        <w:tc>
          <w:tcPr>
            <w:tcW w:type="dxa" w:w="5040"/>
          </w:tcPr>
          <w:p>
            <w:r>
              <w:t>Malformed vendor response</w:t>
            </w:r>
          </w:p>
        </w:tc>
        <w:tc>
          <w:tcPr>
            <w:tcW w:type="dxa" w:w="5040"/>
          </w:tcPr>
          <w:p>
            <w:r>
              <w:t>Reject/contain; alert</w:t>
            </w:r>
          </w:p>
        </w:tc>
      </w:tr>
      <w:tr>
        <w:tc>
          <w:tcPr>
            <w:tcW w:type="dxa" w:w="5040"/>
          </w:tcPr>
          <w:p>
            <w:r>
              <w:t>Plugin process crash</w:t>
            </w:r>
          </w:p>
        </w:tc>
        <w:tc>
          <w:tcPr>
            <w:tcW w:type="dxa" w:w="5040"/>
          </w:tcPr>
          <w:p>
            <w:r>
              <w:t>Restart/recover according to deployment policy</w:t>
            </w:r>
          </w:p>
        </w:tc>
      </w:tr>
      <w:tr>
        <w:tc>
          <w:tcPr>
            <w:tcW w:type="dxa" w:w="5040"/>
          </w:tcPr>
          <w:p>
            <w:r>
              <w:t>Capability unavailable</w:t>
            </w:r>
          </w:p>
        </w:tc>
        <w:tc>
          <w:tcPr>
            <w:tcW w:type="dxa" w:w="5040"/>
          </w:tcPr>
          <w:p>
            <w:r>
              <w:t>Do not activate dependent execution</w:t>
            </w:r>
          </w:p>
        </w:tc>
      </w:tr>
      <w:tr>
        <w:tc>
          <w:tcPr>
            <w:tcW w:type="dxa" w:w="5040"/>
          </w:tcPr>
          <w:p>
            <w:r>
              <w:t>Execution ambiguity</w:t>
            </w:r>
          </w:p>
        </w:tc>
        <w:tc>
          <w:tcPr>
            <w:tcW w:type="dxa" w:w="5040"/>
          </w:tcPr>
          <w:p>
            <w:r>
              <w:t>Trade Lifecycle enters controlled pending/reconciliation path</w:t>
            </w:r>
          </w:p>
        </w:tc>
      </w:tr>
    </w:tbl>
    <w:p>
      <w:r>
        <w:t>A plugin failure must not cause a strategy to bypass risk or invent an execution outcome.</w:t>
      </w:r>
    </w:p>
    <w:p>
      <w:pPr>
        <w:pStyle w:val="Heading1"/>
      </w:pPr>
      <w:r>
        <w:t>27. Plugin and Mailbox Interaction</w:t>
      </w:r>
    </w:p>
    <w:p>
      <w:r>
        <w:t>Plugins must not break the stateful evaluation invariant.</w:t>
      </w:r>
    </w:p>
    <w:p>
      <w:r>
        <w:rPr>
          <w:rFonts w:ascii="Consolas" w:hAnsi="Consolas"/>
          <w:sz w:val="16"/>
        </w:rPr>
        <w:t>Execution Mailbox</w:t>
        <w:br/>
        <w:t xml:space="preserve">      │</w:t>
        <w:br/>
        <w:t xml:space="preserve">      ▼</w:t>
        <w:br/>
        <w:t>Workflow / Rule / Indicator</w:t>
        <w:br/>
        <w:t xml:space="preserve">      │</w:t>
        <w:br/>
        <w:t xml:space="preserve">      ├── synchronous deterministic plugin use</w:t>
        <w:br/>
        <w:t xml:space="preserve">      │     e.g. indicator</w:t>
        <w:br/>
        <w:t xml:space="preserve">      │</w:t>
        <w:br/>
        <w:t xml:space="preserve">      └── asynchronous external integration</w:t>
        <w:br/>
        <w:t xml:space="preserve">            e.g. broker execution</w:t>
        <w:br/>
        <w:t xml:space="preserve">                  │</w:t>
        <w:br/>
        <w:t xml:space="preserve">                  ▼</w:t>
        <w:br/>
        <w:t xml:space="preserve">            Trade Lifecycle</w:t>
      </w:r>
    </w:p>
    <w:p>
      <w:r>
        <w:t>External broker operations are downstream of strategy evaluation. A slow broker plugin must not cause same-key evaluation concurrency.</w:t>
      </w:r>
    </w:p>
    <w:p>
      <w:pPr>
        <w:pStyle w:val="Heading1"/>
      </w:pPr>
      <w:r>
        <w:t>28. Plugin Timeout and Backpressure</w:t>
      </w:r>
    </w:p>
    <w:p>
      <w:pPr>
        <w:pStyle w:val="ListBullet"/>
      </w:pPr>
      <w:r>
        <w:t>Every external plugin operation has a bounded timeout.</w:t>
      </w:r>
    </w:p>
    <w:p>
      <w:pPr>
        <w:pStyle w:val="ListBullet"/>
      </w:pPr>
      <w:r>
        <w:t>Broker latency is monitored independently from evaluation latency.</w:t>
      </w:r>
    </w:p>
    <w:p>
      <w:pPr>
        <w:pStyle w:val="ListBullet"/>
      </w:pPr>
      <w:r>
        <w:t>Slow external calls must not hold an EvaluationKey worker indefinitely where the workflow contract allows decoupling.</w:t>
      </w:r>
    </w:p>
    <w:p>
      <w:pPr>
        <w:pStyle w:val="ListBullet"/>
      </w:pPr>
      <w:r>
        <w:t>Execution requests should transition into Trade Lifecycle and be processed by the appropriate execution mechanism.</w:t>
      </w:r>
    </w:p>
    <w:p>
      <w:pPr>
        <w:pStyle w:val="ListBullet"/>
      </w:pPr>
      <w:r>
        <w:t>Backpressure must be visible through metrics and alerts.</w:t>
      </w:r>
    </w:p>
    <w:p>
      <w:pPr>
        <w:pStyle w:val="Heading1"/>
      </w:pPr>
      <w:r>
        <w:t>29. Plugin Testing Strategy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Test Category</w:t>
            </w:r>
          </w:p>
        </w:tc>
        <w:tc>
          <w:tcPr>
            <w:tcW w:type="dxa" w:w="5040"/>
          </w:tcPr>
          <w:p>
            <w:r>
              <w:t>Coverage</w:t>
            </w:r>
          </w:p>
        </w:tc>
      </w:tr>
      <w:tr>
        <w:tc>
          <w:tcPr>
            <w:tcW w:type="dxa" w:w="5040"/>
          </w:tcPr>
          <w:p>
            <w:r>
              <w:t>Contract tests</w:t>
            </w:r>
          </w:p>
        </w:tc>
        <w:tc>
          <w:tcPr>
            <w:tcW w:type="dxa" w:w="5040"/>
          </w:tcPr>
          <w:p>
            <w:r>
              <w:t>Plugin implements platform interface correctly</w:t>
            </w:r>
          </w:p>
        </w:tc>
      </w:tr>
      <w:tr>
        <w:tc>
          <w:tcPr>
            <w:tcW w:type="dxa" w:w="5040"/>
          </w:tcPr>
          <w:p>
            <w:r>
              <w:t>Compatibility</w:t>
            </w:r>
          </w:p>
        </w:tc>
        <w:tc>
          <w:tcPr>
            <w:tcW w:type="dxa" w:w="5040"/>
          </w:tcPr>
          <w:p>
            <w:r>
              <w:t>Manifest/API/config/schema compatibility</w:t>
            </w:r>
          </w:p>
        </w:tc>
      </w:tr>
      <w:tr>
        <w:tc>
          <w:tcPr>
            <w:tcW w:type="dxa" w:w="5040"/>
          </w:tcPr>
          <w:p>
            <w:r>
              <w:t>Golden mapping</w:t>
            </w:r>
          </w:p>
        </w:tc>
        <w:tc>
          <w:tcPr>
            <w:tcW w:type="dxa" w:w="5040"/>
          </w:tcPr>
          <w:p>
            <w:r>
              <w:t>Platform request ↔ vendor request/response</w:t>
            </w:r>
          </w:p>
        </w:tc>
      </w:tr>
      <w:tr>
        <w:tc>
          <w:tcPr>
            <w:tcW w:type="dxa" w:w="5040"/>
          </w:tcPr>
          <w:p>
            <w:r>
              <w:t>Fault</w:t>
            </w:r>
          </w:p>
        </w:tc>
        <w:tc>
          <w:tcPr>
            <w:tcW w:type="dxa" w:w="5040"/>
          </w:tcPr>
          <w:p>
            <w:r>
              <w:t>Timeout, throttling, malformed response, disconnect</w:t>
            </w:r>
          </w:p>
        </w:tc>
      </w:tr>
      <w:tr>
        <w:tc>
          <w:tcPr>
            <w:tcW w:type="dxa" w:w="5040"/>
          </w:tcPr>
          <w:p>
            <w:r>
              <w:t>Idempotency</w:t>
            </w:r>
          </w:p>
        </w:tc>
        <w:tc>
          <w:tcPr>
            <w:tcW w:type="dxa" w:w="5040"/>
          </w:tcPr>
          <w:p>
            <w:r>
              <w:t>Duplicate execution/fill update behavior</w:t>
            </w:r>
          </w:p>
        </w:tc>
      </w:tr>
      <w:tr>
        <w:tc>
          <w:tcPr>
            <w:tcW w:type="dxa" w:w="5040"/>
          </w:tcPr>
          <w:p>
            <w:r>
              <w:t>Security</w:t>
            </w:r>
          </w:p>
        </w:tc>
        <w:tc>
          <w:tcPr>
            <w:tcW w:type="dxa" w:w="5040"/>
          </w:tcPr>
          <w:p>
            <w:r>
              <w:t>Secrets, permissions, artifact validation</w:t>
            </w:r>
          </w:p>
        </w:tc>
      </w:tr>
      <w:tr>
        <w:tc>
          <w:tcPr>
            <w:tcW w:type="dxa" w:w="5040"/>
          </w:tcPr>
          <w:p>
            <w:r>
              <w:t>Performance</w:t>
            </w:r>
          </w:p>
        </w:tc>
        <w:tc>
          <w:tcPr>
            <w:tcW w:type="dxa" w:w="5040"/>
          </w:tcPr>
          <w:p>
            <w:r>
              <w:t>Latency and throughput</w:t>
            </w:r>
          </w:p>
        </w:tc>
      </w:tr>
      <w:tr>
        <w:tc>
          <w:tcPr>
            <w:tcW w:type="dxa" w:w="5040"/>
          </w:tcPr>
          <w:p>
            <w:r>
              <w:t>Concurrency</w:t>
            </w:r>
          </w:p>
        </w:tc>
        <w:tc>
          <w:tcPr>
            <w:tcW w:type="dxa" w:w="5040"/>
          </w:tcPr>
          <w:p>
            <w:r>
              <w:t>Independent executions without same-key violation</w:t>
            </w:r>
          </w:p>
        </w:tc>
      </w:tr>
      <w:tr>
        <w:tc>
          <w:tcPr>
            <w:tcW w:type="dxa" w:w="5040"/>
          </w:tcPr>
          <w:p>
            <w:r>
              <w:t>Simulation</w:t>
            </w:r>
          </w:p>
        </w:tc>
        <w:tc>
          <w:tcPr>
            <w:tcW w:type="dxa" w:w="5040"/>
          </w:tcPr>
          <w:p>
            <w:r>
              <w:t>Deterministic adapter behavior</w:t>
            </w:r>
          </w:p>
        </w:tc>
      </w:tr>
      <w:tr>
        <w:tc>
          <w:tcPr>
            <w:tcW w:type="dxa" w:w="5040"/>
          </w:tcPr>
          <w:p>
            <w:r>
              <w:t>Recovery</w:t>
            </w:r>
          </w:p>
        </w:tc>
        <w:tc>
          <w:tcPr>
            <w:tcW w:type="dxa" w:w="5040"/>
          </w:tcPr>
          <w:p>
            <w:r>
              <w:t>Restart/reconnect/reconciliation</w:t>
            </w:r>
          </w:p>
        </w:tc>
      </w:tr>
    </w:tbl>
    <w:p>
      <w:pPr>
        <w:pStyle w:val="Heading1"/>
      </w:pPr>
      <w:r>
        <w:t>30. Broker Adapter Contract Test Example</w:t>
      </w:r>
    </w:p>
    <w:p>
      <w:r>
        <w:rPr>
          <w:rFonts w:ascii="Consolas" w:hAnsi="Consolas"/>
          <w:sz w:val="16"/>
        </w:rPr>
        <w:t>Given:</w:t>
        <w:br/>
        <w:t xml:space="preserve">  platform ExecutionRequest(orderId=123, BUY, qty=100)</w:t>
        <w:br/>
        <w:br/>
        <w:t>When:</w:t>
        <w:br/>
        <w:t xml:space="preserve">  broker plugin maps and submits request</w:t>
        <w:br/>
        <w:br/>
        <w:t>Then:</w:t>
        <w:br/>
        <w:t xml:space="preserve">  vendor request contains expected side/quantity/instrument</w:t>
        <w:br/>
        <w:t xml:space="preserve">  externalOrderId is captured</w:t>
        <w:br/>
        <w:t xml:space="preserve">  platform receives normalized acknowledgement</w:t>
        <w:br/>
        <w:br/>
        <w:t>And:</w:t>
        <w:br/>
        <w:t xml:space="preserve">  repeating the same external update does not double-count fills</w:t>
      </w:r>
    </w:p>
    <w:p>
      <w:pPr>
        <w:pStyle w:val="Heading1"/>
      </w:pPr>
      <w:r>
        <w:t>31. Indicator Plugin Regression</w:t>
      </w:r>
    </w:p>
    <w:p>
      <w:pPr>
        <w:pStyle w:val="ListBullet"/>
      </w:pPr>
      <w:r>
        <w:t>Run plugin against canonical observation streams.</w:t>
      </w:r>
    </w:p>
    <w:p>
      <w:pPr>
        <w:pStyle w:val="ListBullet"/>
      </w:pPr>
      <w:r>
        <w:t>Compare indicator snapshots against approved golden baselines.</w:t>
      </w:r>
    </w:p>
    <w:p>
      <w:pPr>
        <w:pStyle w:val="ListBullet"/>
      </w:pPr>
      <w:r>
        <w:t>Validate warm-up/readiness behavior.</w:t>
      </w:r>
    </w:p>
    <w:p>
      <w:pPr>
        <w:pStyle w:val="ListBullet"/>
      </w:pPr>
      <w:r>
        <w:t>Validate session reset.</w:t>
      </w:r>
    </w:p>
    <w:p>
      <w:pPr>
        <w:pStyle w:val="ListBullet"/>
      </w:pPr>
      <w:r>
        <w:t>Validate precision and rounding.</w:t>
      </w:r>
    </w:p>
    <w:p>
      <w:pPr>
        <w:pStyle w:val="ListBullet"/>
      </w:pPr>
      <w:r>
        <w:t>Verify deterministic output across repeated runs.</w:t>
      </w:r>
    </w:p>
    <w:p>
      <w:pPr>
        <w:pStyle w:val="ListBullet"/>
      </w:pPr>
      <w:r>
        <w:t>Verify live/replay parity.</w:t>
      </w:r>
    </w:p>
    <w:p>
      <w:pPr>
        <w:pStyle w:val="Heading1"/>
      </w:pPr>
      <w:r>
        <w:t>32. Plugin Deployment Model</w:t>
      </w:r>
    </w:p>
    <w:p>
      <w:r>
        <w:rPr>
          <w:rFonts w:ascii="Consolas" w:hAnsi="Consolas"/>
          <w:sz w:val="16"/>
        </w:rPr>
        <w:t>Artifact Repository</w:t>
        <w:br/>
        <w:t xml:space="preserve">       ↓</w:t>
        <w:br/>
        <w:t>Security / Compatibility Scan</w:t>
        <w:br/>
        <w:t xml:space="preserve">       ↓</w:t>
        <w:br/>
        <w:t>Plugin Validation</w:t>
        <w:br/>
        <w:t xml:space="preserve">       ↓</w:t>
        <w:br/>
        <w:t>Container Image</w:t>
        <w:br/>
        <w:t xml:space="preserve">       ↓</w:t>
        <w:br/>
        <w:t>Registry</w:t>
        <w:br/>
        <w:t xml:space="preserve">       ↓</w:t>
        <w:br/>
        <w:t>Cloud Run / Approved Runtime</w:t>
        <w:br/>
        <w:t xml:space="preserve">       ↓</w:t>
        <w:br/>
        <w:t>Plugin Registry Registration</w:t>
        <w:br/>
        <w:t xml:space="preserve">       ↓</w:t>
        <w:br/>
        <w:t>Enable / Canary / Activate</w:t>
      </w:r>
    </w:p>
    <w:p>
      <w:r>
        <w:t>The exact cloud artifact registry and deployment mechanism should follow the platform technology/deployment documents. The plugin framework itself remains cloud-neutral at the contract level.</w:t>
      </w:r>
    </w:p>
    <w:p>
      <w:pPr>
        <w:pStyle w:val="Heading1"/>
      </w:pPr>
      <w:r>
        <w:t>33. Plugin Repository Structure</w:t>
      </w:r>
    </w:p>
    <w:p>
      <w:r>
        <w:rPr>
          <w:rFonts w:ascii="Consolas" w:hAnsi="Consolas"/>
          <w:sz w:val="16"/>
        </w:rPr>
        <w:t>plugins/</w:t>
        <w:br/>
        <w:t xml:space="preserve">  api/</w:t>
        <w:br/>
        <w:t xml:space="preserve">    market-data-api/</w:t>
        <w:br/>
        <w:t xml:space="preserve">    execution-api/</w:t>
        <w:br/>
        <w:t xml:space="preserve">    indicator-api/</w:t>
        <w:br/>
        <w:t xml:space="preserve">  broker/</w:t>
        <w:br/>
        <w:t xml:space="preserve">    broker-a/</w:t>
        <w:br/>
        <w:t xml:space="preserve">    broker-b/</w:t>
        <w:br/>
        <w:t xml:space="preserve">  market-data/</w:t>
        <w:br/>
        <w:t xml:space="preserve">    provider-a/</w:t>
        <w:br/>
        <w:t xml:space="preserve">  indicators/</w:t>
        <w:br/>
        <w:t xml:space="preserve">    rsi/</w:t>
        <w:br/>
        <w:t xml:space="preserve">    moving-average/</w:t>
        <w:br/>
        <w:t xml:space="preserve">  simulation/</w:t>
        <w:br/>
        <w:t xml:space="preserve">    deterministic-fill/</w:t>
        <w:br/>
        <w:t xml:space="preserve">  notifications/</w:t>
        <w:br/>
        <w:t xml:space="preserve">    email/</w:t>
      </w:r>
    </w:p>
    <w:p>
      <w:r>
        <w:t>The platform API contracts should be independently versioned from vendor implementations.</w:t>
      </w:r>
    </w:p>
    <w:p>
      <w:pPr>
        <w:pStyle w:val="Heading1"/>
      </w:pPr>
      <w:r>
        <w:t>34. Java Package Structure</w:t>
      </w:r>
    </w:p>
    <w:p>
      <w:r>
        <w:rPr>
          <w:rFonts w:ascii="Consolas" w:hAnsi="Consolas"/>
          <w:sz w:val="16"/>
        </w:rPr>
        <w:t>plugin-api/</w:t>
        <w:br/>
        <w:t xml:space="preserve">  capability/</w:t>
        <w:br/>
        <w:t xml:space="preserve">  marketdata/</w:t>
        <w:br/>
        <w:t xml:space="preserve">  execution/</w:t>
        <w:br/>
        <w:t xml:space="preserve">  indicator/</w:t>
        <w:br/>
        <w:t xml:space="preserve">  simulation/</w:t>
        <w:br/>
        <w:t xml:space="preserve">  notification/</w:t>
        <w:br/>
        <w:t xml:space="preserve">  health/</w:t>
        <w:br/>
        <w:br/>
        <w:t>plugin-registry/</w:t>
        <w:br/>
        <w:t xml:space="preserve">  manifest/</w:t>
        <w:br/>
        <w:t xml:space="preserve">  compatibility/</w:t>
        <w:br/>
        <w:t xml:space="preserve">  lifecycle/</w:t>
        <w:br/>
        <w:t xml:space="preserve">  resolution/</w:t>
        <w:br/>
        <w:br/>
        <w:t>plugin-broker-example/</w:t>
        <w:br/>
        <w:t xml:space="preserve">  adapter/</w:t>
        <w:br/>
        <w:t xml:space="preserve">  mapping/</w:t>
        <w:br/>
        <w:t xml:space="preserve">  sdk/</w:t>
        <w:br/>
        <w:t xml:space="preserve">  authentication/</w:t>
        <w:br/>
        <w:t xml:space="preserve">  reconciliation/</w:t>
      </w:r>
    </w:p>
    <w:p>
      <w:pPr>
        <w:pStyle w:val="Heading1"/>
      </w:pPr>
      <w:r>
        <w:t>35. Plugin Governance</w:t>
      </w:r>
    </w:p>
    <w:p>
      <w:pPr>
        <w:pStyle w:val="ListBullet"/>
      </w:pPr>
      <w:r>
        <w:t>Every production plugin has an owner.</w:t>
      </w:r>
    </w:p>
    <w:p>
      <w:pPr>
        <w:pStyle w:val="ListBullet"/>
      </w:pPr>
      <w:r>
        <w:t>Every plugin has a declared purpose and capability list.</w:t>
      </w:r>
    </w:p>
    <w:p>
      <w:pPr>
        <w:pStyle w:val="ListBullet"/>
      </w:pPr>
      <w:r>
        <w:t>Production approval records plugin version, checksum and test evidence.</w:t>
      </w:r>
    </w:p>
    <w:p>
      <w:pPr>
        <w:pStyle w:val="ListBullet"/>
      </w:pPr>
      <w:r>
        <w:t>Breaking contract changes require a new API major version or migration path.</w:t>
      </w:r>
    </w:p>
    <w:p>
      <w:pPr>
        <w:pStyle w:val="ListBullet"/>
      </w:pPr>
      <w:r>
        <w:t>Retired plugins remain identifiable for historical executions.</w:t>
      </w:r>
    </w:p>
    <w:p>
      <w:pPr>
        <w:pStyle w:val="ListBullet"/>
      </w:pPr>
      <w:r>
        <w:t>Plugin security and dependency scans are part of CI/CD.</w:t>
      </w:r>
    </w:p>
    <w:p>
      <w:pPr>
        <w:pStyle w:val="ListBullet"/>
      </w:pPr>
      <w:r>
        <w:t>Vendor JAR upgrades are explicitly reviewed because they may change transitive dependencies or runtime behavior.</w:t>
      </w:r>
    </w:p>
    <w:p>
      <w:pPr>
        <w:pStyle w:val="Heading1"/>
      </w:pPr>
      <w:r>
        <w:t>36. AI Integration Boundary</w:t>
      </w:r>
    </w:p>
    <w:p>
      <w:r>
        <w:t>The on-demand AI trade-explanation service is treated as a platform integration, not as a strategy-execution plugin. It is invoked only when the user selects Explain from a trade/position view.</w:t>
      </w:r>
    </w:p>
    <w:p>
      <w:pPr>
        <w:pStyle w:val="ListBullet"/>
      </w:pPr>
      <w:r>
        <w:t>AI cannot participate in rule evaluation.</w:t>
      </w:r>
    </w:p>
    <w:p>
      <w:pPr>
        <w:pStyle w:val="ListBullet"/>
      </w:pPr>
      <w:r>
        <w:t>AI cannot generate or approve trades.</w:t>
      </w:r>
    </w:p>
    <w:p>
      <w:pPr>
        <w:pStyle w:val="ListBullet"/>
      </w:pPr>
      <w:r>
        <w:t>AI cannot modify strategy state.</w:t>
      </w:r>
    </w:p>
    <w:p>
      <w:pPr>
        <w:pStyle w:val="ListBullet"/>
      </w:pPr>
      <w:r>
        <w:t>AI provider selection/configuration is external to strategy DSL.</w:t>
      </w:r>
    </w:p>
    <w:p>
      <w:pPr>
        <w:pStyle w:val="ListBullet"/>
      </w:pPr>
      <w:r>
        <w:t>AI provider cost/billing configuration may be used to pass on demand-time cost to the user.</w:t>
      </w:r>
    </w:p>
    <w:p>
      <w:pPr>
        <w:pStyle w:val="ListBullet"/>
      </w:pPr>
      <w:r>
        <w:t>AI failures never affect trade execution.</w:t>
      </w:r>
    </w:p>
    <w:p>
      <w:pPr>
        <w:pStyle w:val="ListBullet"/>
      </w:pPr>
      <w:r>
        <w:t>AI requests/results are observable and auditable.</w:t>
      </w:r>
    </w:p>
    <w:p>
      <w:pPr>
        <w:pStyle w:val="Heading1"/>
      </w:pPr>
      <w:r>
        <w:t>37. Plugin Registry Database Extensions</w:t>
      </w:r>
    </w:p>
    <w:p>
      <w:r>
        <w:rPr>
          <w:rFonts w:ascii="Consolas" w:hAnsi="Consolas"/>
          <w:sz w:val="16"/>
        </w:rPr>
        <w:t>plugin_registry</w:t>
        <w:br/>
        <w:t>plugin_capability</w:t>
        <w:br/>
        <w:t>plugin_configuration_version</w:t>
        <w:br/>
        <w:t>plugin_approval</w:t>
        <w:br/>
        <w:t>plugin_health_snapshot</w:t>
        <w:br/>
        <w:t>plugin_audit_event</w:t>
      </w:r>
    </w:p>
    <w:p>
      <w:r>
        <w:t>These tables are complementary to the Strategy Repository schema. StrategyVersion may reference logical capabilities and resolved plugin metadata without embedding plugin implementation details.</w:t>
      </w:r>
    </w:p>
    <w:p>
      <w:pPr>
        <w:pStyle w:val="Heading1"/>
      </w:pPr>
      <w:r>
        <w:t>38. Runtime Binding Example</w:t>
      </w:r>
    </w:p>
    <w:p>
      <w:r>
        <w:rPr>
          <w:rFonts w:ascii="Consolas" w:hAnsi="Consolas"/>
          <w:sz w:val="16"/>
        </w:rPr>
        <w:t>Strategy:</w:t>
        <w:br/>
        <w:t xml:space="preserve">  requires = [MARKET_LTP, ORDER_PLACE, EXECUTION_UPDATES]</w:t>
        <w:br/>
        <w:br/>
        <w:t>Activation:</w:t>
        <w:br/>
        <w:t xml:space="preserve">  MARKET_LTP       → market-provider-v3</w:t>
        <w:br/>
        <w:t xml:space="preserve">  ORDER_PLACE      → broker-adapter-v7</w:t>
        <w:br/>
        <w:t xml:space="preserve">  EXECUTION_UPDATES→ broker-adapter-v7</w:t>
        <w:br/>
        <w:br/>
        <w:t>Execution metadata:</w:t>
        <w:br/>
        <w:t xml:space="preserve">  strategyVersion = 12</w:t>
        <w:br/>
        <w:t xml:space="preserve">  planFingerprint = abc...</w:t>
        <w:br/>
        <w:t xml:space="preserve">  marketPlugin = market-provider-v3</w:t>
        <w:br/>
        <w:t xml:space="preserve">  brokerPlugin = broker-adapter-v7</w:t>
      </w:r>
    </w:p>
    <w:p>
      <w:r>
        <w:t>The binding becomes part of the execution provenance so a historical trade can be related to the exact integration implementation used.</w:t>
      </w:r>
    </w:p>
    <w:p>
      <w:pPr>
        <w:pStyle w:val="Heading1"/>
      </w:pPr>
      <w:r>
        <w:t>39. Operational Runbook – Plugin Failure</w:t>
      </w:r>
    </w:p>
    <w:p>
      <w:pPr>
        <w:pStyle w:val="ListBullet"/>
      </w:pPr>
      <w:r>
        <w:t>Identify plugin ID/version and affected capability.</w:t>
      </w:r>
    </w:p>
    <w:p>
      <w:pPr>
        <w:pStyle w:val="ListBullet"/>
      </w:pPr>
      <w:r>
        <w:t>Check plugin health and error/timeout metrics.</w:t>
      </w:r>
    </w:p>
    <w:p>
      <w:pPr>
        <w:pStyle w:val="ListBullet"/>
      </w:pPr>
      <w:r>
        <w:t>Determine affected strategy executions.</w:t>
      </w:r>
    </w:p>
    <w:p>
      <w:pPr>
        <w:pStyle w:val="ListBullet"/>
      </w:pPr>
      <w:r>
        <w:t>Verify whether the issue is vendor, SDK, network or adapter logic.</w:t>
      </w:r>
    </w:p>
    <w:p>
      <w:pPr>
        <w:pStyle w:val="ListBullet"/>
      </w:pPr>
      <w:r>
        <w:t>For execution adapters, inspect Trade Lifecycle and reconciliation state before taking action.</w:t>
      </w:r>
    </w:p>
    <w:p>
      <w:pPr>
        <w:pStyle w:val="ListBullet"/>
      </w:pPr>
      <w:r>
        <w:t>If required, disable new use of the plugin version.</w:t>
      </w:r>
    </w:p>
    <w:p>
      <w:pPr>
        <w:pStyle w:val="ListBullet"/>
      </w:pPr>
      <w:r>
        <w:t>Route new activations to a validated compatible version if approved.</w:t>
      </w:r>
    </w:p>
    <w:p>
      <w:pPr>
        <w:pStyle w:val="ListBullet"/>
      </w:pPr>
      <w:r>
        <w:t>Do not dynamically switch an active execution unless the explicit lifecycle policy permits it.</w:t>
      </w:r>
    </w:p>
    <w:p>
      <w:pPr>
        <w:pStyle w:val="ListBullet"/>
      </w:pPr>
      <w:r>
        <w:t>Record the incident and plugin version/checksum.</w:t>
      </w:r>
    </w:p>
    <w:p>
      <w:pPr>
        <w:pStyle w:val="Heading1"/>
      </w:pPr>
      <w:r>
        <w:t>40. Acceptance Criteria</w:t>
      </w:r>
    </w:p>
    <w:p>
      <w:pPr>
        <w:pStyle w:val="ListBullet"/>
      </w:pPr>
      <w:r>
        <w:t>All production plugins implement explicit platform contracts.</w:t>
      </w:r>
    </w:p>
    <w:p>
      <w:pPr>
        <w:pStyle w:val="ListBullet"/>
      </w:pPr>
      <w:r>
        <w:t>Plugin manifests declare API version, plugin type, capabilities and version.</w:t>
      </w:r>
    </w:p>
    <w:p>
      <w:pPr>
        <w:pStyle w:val="ListBullet"/>
      </w:pPr>
      <w:r>
        <w:t>Only approved and validated plugin artifacts can become active.</w:t>
      </w:r>
    </w:p>
    <w:p>
      <w:pPr>
        <w:pStyle w:val="ListBullet"/>
      </w:pPr>
      <w:r>
        <w:t>Broker-provided JARs remain behind the broker adapter boundary.</w:t>
      </w:r>
    </w:p>
    <w:p>
      <w:pPr>
        <w:pStyle w:val="ListBullet"/>
      </w:pPr>
      <w:r>
        <w:t>Core strategy components do not depend on vendor SDK classes.</w:t>
      </w:r>
    </w:p>
    <w:p>
      <w:pPr>
        <w:pStyle w:val="ListBullet"/>
      </w:pPr>
      <w:r>
        <w:t>Strategy activation validates required capabilities and compatible plugin versions.</w:t>
      </w:r>
    </w:p>
    <w:p>
      <w:pPr>
        <w:pStyle w:val="ListBullet"/>
      </w:pPr>
      <w:r>
        <w:t>Existing executions can retain their pinned integration version where required.</w:t>
      </w:r>
    </w:p>
    <w:p>
      <w:pPr>
        <w:pStyle w:val="ListBullet"/>
      </w:pPr>
      <w:r>
        <w:t>Plugin failures cannot bypass Allocation &amp; Risk or Trade Lifecycle.</w:t>
      </w:r>
    </w:p>
    <w:p>
      <w:pPr>
        <w:pStyle w:val="ListBullet"/>
      </w:pPr>
      <w:r>
        <w:t>Normalized market observations remain independent of plugin trade-generation decisions.</w:t>
      </w:r>
    </w:p>
    <w:p>
      <w:pPr>
        <w:pStyle w:val="ListBullet"/>
      </w:pPr>
      <w:r>
        <w:t>Same EvaluationKey concurrency is preserved.</w:t>
      </w:r>
    </w:p>
    <w:p>
      <w:pPr>
        <w:pStyle w:val="ListBullet"/>
      </w:pPr>
      <w:r>
        <w:t>Plugin health, latency and failures are observable.</w:t>
      </w:r>
    </w:p>
    <w:p>
      <w:pPr>
        <w:pStyle w:val="ListBullet"/>
      </w:pPr>
      <w:r>
        <w:t>Simulation cannot resolve a live execution plugin.</w:t>
      </w:r>
    </w:p>
    <w:p>
      <w:pPr>
        <w:pStyle w:val="ListBullet"/>
      </w:pPr>
      <w:r>
        <w:t>Secrets are referenced through managed secret mechanisms.</w:t>
      </w:r>
    </w:p>
    <w:p>
      <w:pPr>
        <w:pStyle w:val="ListBullet"/>
      </w:pPr>
      <w:r>
        <w:t>AI explanation remains strictly on demand and outside the trading path.</w:t>
      </w:r>
    </w:p>
    <w:p>
      <w:pPr>
        <w:pStyle w:val="Heading1"/>
      </w:pPr>
      <w:r>
        <w:t>41.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Document</w:t>
            </w:r>
          </w:p>
        </w:tc>
        <w:tc>
          <w:tcPr>
            <w:tcW w:type="dxa" w:w="5040"/>
          </w:tcPr>
          <w:p>
            <w:r>
              <w:t>Relationship</w:t>
            </w:r>
          </w:p>
        </w:tc>
      </w:tr>
      <w:tr>
        <w:tc>
          <w:tcPr>
            <w:tcW w:type="dxa" w:w="5040"/>
          </w:tcPr>
          <w:p>
            <w:r>
              <w:t>07.3 Strategy DSL</w:t>
            </w:r>
          </w:p>
        </w:tc>
        <w:tc>
          <w:tcPr>
            <w:tcW w:type="dxa" w:w="5040"/>
          </w:tcPr>
          <w:p>
            <w:r>
              <w:t>Logical capability/indicator references</w:t>
            </w:r>
          </w:p>
        </w:tc>
      </w:tr>
      <w:tr>
        <w:tc>
          <w:tcPr>
            <w:tcW w:type="dxa" w:w="5040"/>
          </w:tcPr>
          <w:p>
            <w:r>
              <w:t>07.4 Strategy Compiler</w:t>
            </w:r>
          </w:p>
        </w:tc>
        <w:tc>
          <w:tcPr>
            <w:tcW w:type="dxa" w:w="5040"/>
          </w:tcPr>
          <w:p>
            <w:r>
              <w:t>Dependency extraction and validation</w:t>
            </w:r>
          </w:p>
        </w:tc>
      </w:tr>
      <w:tr>
        <w:tc>
          <w:tcPr>
            <w:tcW w:type="dxa" w:w="5040"/>
          </w:tcPr>
          <w:p>
            <w:r>
              <w:t>07.5 Workflow Engine</w:t>
            </w:r>
          </w:p>
        </w:tc>
        <w:tc>
          <w:tcPr>
            <w:tcW w:type="dxa" w:w="5040"/>
          </w:tcPr>
          <w:p>
            <w:r>
              <w:t>Runtime orchestration boundary</w:t>
            </w:r>
          </w:p>
        </w:tc>
      </w:tr>
      <w:tr>
        <w:tc>
          <w:tcPr>
            <w:tcW w:type="dxa" w:w="5040"/>
          </w:tcPr>
          <w:p>
            <w:r>
              <w:t>07.6 Rule Engine</w:t>
            </w:r>
          </w:p>
        </w:tc>
        <w:tc>
          <w:tcPr>
            <w:tcW w:type="dxa" w:w="5040"/>
          </w:tcPr>
          <w:p>
            <w:r>
              <w:t>No-side-effect rule semantics</w:t>
            </w:r>
          </w:p>
        </w:tc>
      </w:tr>
      <w:tr>
        <w:tc>
          <w:tcPr>
            <w:tcW w:type="dxa" w:w="5040"/>
          </w:tcPr>
          <w:p>
            <w:r>
              <w:t>07.7 Indicator Engine</w:t>
            </w:r>
          </w:p>
        </w:tc>
        <w:tc>
          <w:tcPr>
            <w:tcW w:type="dxa" w:w="5040"/>
          </w:tcPr>
          <w:p>
            <w:r>
              <w:t>Indicator plugin contract</w:t>
            </w:r>
          </w:p>
        </w:tc>
      </w:tr>
      <w:tr>
        <w:tc>
          <w:tcPr>
            <w:tcW w:type="dxa" w:w="5040"/>
          </w:tcPr>
          <w:p>
            <w:r>
              <w:t>07.8 Allocation and Risk Engine</w:t>
            </w:r>
          </w:p>
        </w:tc>
        <w:tc>
          <w:tcPr>
            <w:tcW w:type="dxa" w:w="5040"/>
          </w:tcPr>
          <w:p>
            <w:r>
              <w:t>Risk/allocation boundary</w:t>
            </w:r>
          </w:p>
        </w:tc>
      </w:tr>
      <w:tr>
        <w:tc>
          <w:tcPr>
            <w:tcW w:type="dxa" w:w="5040"/>
          </w:tcPr>
          <w:p>
            <w:r>
              <w:t>07.9 Trade Lifecycle Manager</w:t>
            </w:r>
          </w:p>
        </w:tc>
        <w:tc>
          <w:tcPr>
            <w:tcW w:type="dxa" w:w="5040"/>
          </w:tcPr>
          <w:p>
            <w:r>
              <w:t>Execution adapter boundary</w:t>
            </w:r>
          </w:p>
        </w:tc>
      </w:tr>
      <w:tr>
        <w:tc>
          <w:tcPr>
            <w:tcW w:type="dxa" w:w="5040"/>
          </w:tcPr>
          <w:p>
            <w:r>
              <w:t>07.10 Replay and Simulation Engine</w:t>
            </w:r>
          </w:p>
        </w:tc>
        <w:tc>
          <w:tcPr>
            <w:tcW w:type="dxa" w:w="5040"/>
          </w:tcPr>
          <w:p>
            <w:r>
              <w:t>Simulation plugin</w:t>
            </w:r>
          </w:p>
        </w:tc>
      </w:tr>
      <w:tr>
        <w:tc>
          <w:tcPr>
            <w:tcW w:type="dxa" w:w="5040"/>
          </w:tcPr>
          <w:p>
            <w:r>
              <w:t>07.11 Regression Test Framework</w:t>
            </w:r>
          </w:p>
        </w:tc>
        <w:tc>
          <w:tcPr>
            <w:tcW w:type="dxa" w:w="5040"/>
          </w:tcPr>
          <w:p>
            <w:r>
              <w:t>Plugin contract/golden tests</w:t>
            </w:r>
          </w:p>
        </w:tc>
      </w:tr>
      <w:tr>
        <w:tc>
          <w:tcPr>
            <w:tcW w:type="dxa" w:w="5040"/>
          </w:tcPr>
          <w:p>
            <w:r>
              <w:t>07.12 Strategy Repository</w:t>
            </w:r>
          </w:p>
        </w:tc>
        <w:tc>
          <w:tcPr>
            <w:tcW w:type="dxa" w:w="5040"/>
          </w:tcPr>
          <w:p>
            <w:r>
              <w:t>Version and execution provenance</w:t>
            </w:r>
          </w:p>
        </w:tc>
      </w:tr>
      <w:tr>
        <w:tc>
          <w:tcPr>
            <w:tcW w:type="dxa" w:w="5040"/>
          </w:tcPr>
          <w:p>
            <w:r>
              <w:t>07.13 Sequence Diagrams</w:t>
            </w:r>
          </w:p>
        </w:tc>
        <w:tc>
          <w:tcPr>
            <w:tcW w:type="dxa" w:w="5040"/>
          </w:tcPr>
          <w:p>
            <w:r>
              <w:t>Plugin interaction flows</w:t>
            </w:r>
          </w:p>
        </w:tc>
      </w:tr>
      <w:tr>
        <w:tc>
          <w:tcPr>
            <w:tcW w:type="dxa" w:w="5040"/>
          </w:tcPr>
          <w:p>
            <w:r>
              <w:t>07.14 State Machines</w:t>
            </w:r>
          </w:p>
        </w:tc>
        <w:tc>
          <w:tcPr>
            <w:tcW w:type="dxa" w:w="5040"/>
          </w:tcPr>
          <w:p>
            <w:r>
              <w:t>Plugin lifecycle/recovery states</w:t>
            </w:r>
          </w:p>
        </w:tc>
      </w:tr>
      <w:tr>
        <w:tc>
          <w:tcPr>
            <w:tcW w:type="dxa" w:w="5040"/>
          </w:tcPr>
          <w:p>
            <w:r>
              <w:t>07.15 Operations and Observability</w:t>
            </w:r>
          </w:p>
        </w:tc>
        <w:tc>
          <w:tcPr>
            <w:tcW w:type="dxa" w:w="5040"/>
          </w:tcPr>
          <w:p>
            <w:r>
              <w:t>Plugin health, telemetry and runbooks</w:t>
            </w:r>
          </w:p>
        </w:tc>
      </w:tr>
    </w:tbl>
    <w:p>
      <w:pPr>
        <w:pStyle w:val="Heading1"/>
      </w:pPr>
      <w:r>
        <w:t>Conclusion</w:t>
      </w:r>
    </w:p>
    <w:p>
      <w:r>
        <w:t>The Plugin Framework creates a controlled extension boundary around the Profit-Bees core. Vendor-specific broker JARs, market-data SDKs and other implementation dependencies remain isolated behind platform contracts. Plugin versions are validated, registered, observable and auditable; strategy execution pins the required integration versions for reproducibility; and simulation remains isolated from live execution. Most importantly, plugins cannot bypass the strategy → allocation/risk → trade lifecycle path or violate Execution Mailbox / Partition Manager serialization. AI trade explanation remains a separate, strictly on-demand integration and never participates in trading decisions.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