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Profit-Bees Architecture Review Package 1</w:t>
        <w:br/>
        <w:t>Document 01 – Executive Summary</w:t>
      </w:r>
    </w:p>
    <w:p>
      <w:r>
        <w:t>Version: 0.2 (Review Draft)</w:t>
        <w:br/>
        <w:t>Purpose: Executive overview of the Profit-Bees architecture and key architectural decisions.</w:t>
      </w:r>
    </w:p>
    <w:p>
      <w:pPr>
        <w:pStyle w:val="Heading1"/>
      </w:pPr>
      <w:r>
        <w:t>1. Business Vision</w:t>
      </w:r>
    </w:p>
    <w:p>
      <w:r>
        <w:t>Profit-Bees is an AI-assisted, event-driven trading analytics platform. AI augments the platform with optional explanations and strategy assistance while deterministic rule engines remain solely responsible for trading decisions.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Configurable trading strategies without code changes.</w:t>
      </w:r>
    </w:p>
    <w:p>
      <w:pPr>
        <w:pStyle w:val="ListBullet"/>
      </w:pPr>
      <w:r>
        <w:t>Real-time market monitoring using broker WebSocket feeds.</w:t>
      </w:r>
    </w:p>
    <w:p>
      <w:pPr>
        <w:pStyle w:val="ListBullet"/>
      </w:pPr>
      <w:r>
        <w:t>Paper trading before live trading.</w:t>
      </w:r>
    </w:p>
    <w:p>
      <w:pPr>
        <w:pStyle w:val="ListBullet"/>
      </w:pPr>
      <w:r>
        <w:t>Broker-independent architecture.</w:t>
      </w:r>
    </w:p>
    <w:p>
      <w:pPr>
        <w:pStyle w:val="ListBullet"/>
      </w:pPr>
      <w:r>
        <w:t>Cloud-native deployment on Google Cloud.</w:t>
      </w:r>
    </w:p>
    <w:p>
      <w:pPr>
        <w:pStyle w:val="ListBullet"/>
      </w:pPr>
      <w:r>
        <w:t>Operational visibility through integrated observability.</w:t>
      </w:r>
    </w:p>
    <w:p>
      <w:pPr>
        <w:pStyle w:val="Heading1"/>
      </w:pPr>
      <w:r>
        <w:t>3. Proposed Solution</w:t>
      </w:r>
    </w:p>
    <w:p>
      <w:r>
        <w:t>Containerized Spring Boot microservices deployed on Cloud Run with PostgreSQL, Redis, an event-driven strategy engine, and a dedicated Operations Console. AI capabilities are isolated in a separate service and invoked only on explicit user request.</w:t>
      </w:r>
    </w:p>
    <w:p>
      <w:pPr>
        <w:pStyle w:val="Heading1"/>
      </w:pPr>
      <w:r>
        <w:t>4. Key Architectural Principles</w:t>
      </w:r>
    </w:p>
    <w:p>
      <w:pPr>
        <w:pStyle w:val="ListBullet"/>
      </w:pPr>
      <w:r>
        <w:t>Event-driven processing.</w:t>
      </w:r>
    </w:p>
    <w:p>
      <w:pPr>
        <w:pStyle w:val="ListBullet"/>
      </w:pPr>
      <w:r>
        <w:t>Configuration-driven strategy execution.</w:t>
      </w:r>
    </w:p>
    <w:p>
      <w:pPr>
        <w:pStyle w:val="ListBullet"/>
      </w:pPr>
      <w:r>
        <w:t>Rule Engine is the authoritative trade decision maker.</w:t>
      </w:r>
    </w:p>
    <w:p>
      <w:pPr>
        <w:pStyle w:val="ListBullet"/>
      </w:pPr>
      <w:r>
        <w:t>AI never participates in trade generation or execution.</w:t>
      </w:r>
    </w:p>
    <w:p>
      <w:pPr>
        <w:pStyle w:val="ListBullet"/>
      </w:pPr>
      <w:r>
        <w:t>Observability by design.</w:t>
      </w:r>
    </w:p>
    <w:p>
      <w:pPr>
        <w:pStyle w:val="ListBullet"/>
      </w:pPr>
      <w:r>
        <w:t>Broker abstraction layer.</w:t>
      </w:r>
    </w:p>
    <w:p>
      <w:pPr>
        <w:pStyle w:val="ListBullet"/>
      </w:pPr>
      <w:r>
        <w:t>Cloud-native deployment.</w:t>
      </w:r>
    </w:p>
    <w:p>
      <w:pPr>
        <w:pStyle w:val="Heading1"/>
      </w:pPr>
      <w:r>
        <w:t>5. Architecture Decision – AI Billing &amp; Invocation</w:t>
      </w:r>
    </w:p>
    <w:p>
      <w:r>
        <w:t>ADR-AI-001: AI is an on-demand advisory capability.</w:t>
      </w:r>
    </w:p>
    <w:p>
      <w:pPr>
        <w:pStyle w:val="ListBullet"/>
      </w:pPr>
      <w:r>
        <w:t>AI explanations are generated only when a user explicitly requests them (for example, by clicking 'Explain Trade').</w:t>
      </w:r>
    </w:p>
    <w:p>
      <w:pPr>
        <w:pStyle w:val="ListBullet"/>
      </w:pPr>
      <w:r>
        <w:t>No automatic AI invocation during market data ingestion, rule evaluation, trade generation, position monitoring, or order execution.</w:t>
      </w:r>
    </w:p>
    <w:p>
      <w:pPr>
        <w:pStyle w:val="ListBullet"/>
      </w:pPr>
      <w:r>
        <w:t>The AI service is independently deployable and can be enabled or disabled without affecting trading functionality.</w:t>
      </w:r>
    </w:p>
    <w:p>
      <w:pPr>
        <w:pStyle w:val="ListBullet"/>
      </w:pPr>
      <w:r>
        <w:t>AI usage supports configurable billing modes: Disabled, Platform-funded, User-funded, or Hybrid quota-based.</w:t>
      </w:r>
    </w:p>
    <w:p>
      <w:pPr>
        <w:pStyle w:val="ListBullet"/>
      </w:pPr>
      <w:r>
        <w:t>Explanation responses may be cached to reduce repeat API costs.</w:t>
      </w:r>
    </w:p>
    <w:p>
      <w:pPr>
        <w:pStyle w:val="Heading1"/>
      </w:pPr>
      <w:r>
        <w:t>6. Functional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Strategy Platform</w:t>
            </w:r>
          </w:p>
        </w:tc>
        <w:tc>
          <w:tcPr>
            <w:tcW w:type="dxa" w:w="4320"/>
          </w:tcPr>
          <w:p>
            <w:r>
              <w:t>Generate deterministic trade signals</w:t>
            </w:r>
          </w:p>
        </w:tc>
      </w:tr>
      <w:tr>
        <w:tc>
          <w:tcPr>
            <w:tcW w:type="dxa" w:w="4320"/>
          </w:tcPr>
          <w:p>
            <w:r>
              <w:t>Broker Integration</w:t>
            </w:r>
          </w:p>
        </w:tc>
        <w:tc>
          <w:tcPr>
            <w:tcW w:type="dxa" w:w="4320"/>
          </w:tcPr>
          <w:p>
            <w:r>
              <w:t>Market data and broker connectivity</w:t>
            </w:r>
          </w:p>
        </w:tc>
      </w:tr>
      <w:tr>
        <w:tc>
          <w:tcPr>
            <w:tcW w:type="dxa" w:w="4320"/>
          </w:tcPr>
          <w:p>
            <w:r>
              <w:t>AI Advisory</w:t>
            </w:r>
          </w:p>
        </w:tc>
        <w:tc>
          <w:tcPr>
            <w:tcW w:type="dxa" w:w="4320"/>
          </w:tcPr>
          <w:p>
            <w:r>
              <w:t>On-demand explanations only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Health, metrics, logs and traces</w:t>
            </w:r>
          </w:p>
        </w:tc>
      </w:tr>
      <w:tr>
        <w:tc>
          <w:tcPr>
            <w:tcW w:type="dxa" w:w="4320"/>
          </w:tcPr>
          <w:p>
            <w:r>
              <w:t>Administration</w:t>
            </w:r>
          </w:p>
        </w:tc>
        <w:tc>
          <w:tcPr>
            <w:tcW w:type="dxa" w:w="4320"/>
          </w:tcPr>
          <w:p>
            <w:r>
              <w:t>Configuration and governance</w:t>
            </w:r>
          </w:p>
        </w:tc>
      </w:tr>
    </w:tbl>
    <w:p>
      <w:pPr>
        <w:pStyle w:val="Heading1"/>
      </w:pPr>
      <w:r>
        <w:t>7. Non-Functional Goals</w:t>
      </w:r>
    </w:p>
    <w:p>
      <w:pPr>
        <w:pStyle w:val="ListBullet"/>
      </w:pPr>
      <w:r>
        <w:t>High availability during market hours.</w:t>
      </w:r>
    </w:p>
    <w:p>
      <w:pPr>
        <w:pStyle w:val="ListBullet"/>
      </w:pPr>
      <w:r>
        <w:t>Low latency strategy execution.</w:t>
      </w:r>
    </w:p>
    <w:p>
      <w:pPr>
        <w:pStyle w:val="ListBullet"/>
      </w:pPr>
      <w:r>
        <w:t>Scalable and cost-efficient cloud deployment.</w:t>
      </w:r>
    </w:p>
    <w:p>
      <w:pPr>
        <w:pStyle w:val="ListBullet"/>
      </w:pPr>
      <w:r>
        <w:t>Strong operational visibility.</w:t>
      </w:r>
    </w:p>
    <w:p>
      <w:pPr>
        <w:pStyle w:val="ListBullet"/>
      </w:pPr>
      <w:r>
        <w:t>Secure secret and identity management.</w:t>
      </w:r>
    </w:p>
    <w:p>
      <w:pPr>
        <w:pStyle w:val="Heading1"/>
      </w:pPr>
      <w:r>
        <w:t>8. Review Package Scope</w:t>
      </w:r>
    </w:p>
    <w:p>
      <w:r>
        <w:t>Subsequent documents expand the architecture into High Level Design, Google Cloud mapping, containerization, broker integration, strategy platform, rule engine, observability and DevOps.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