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Profit-Bees Architecture Review Package 1</w:t>
        <w:br/>
        <w:t>Document 02 – Vision &amp; Scope</w:t>
      </w:r>
    </w:p>
    <w:p>
      <w:r>
        <w:t>Version: 0.3 (Review Draft)</w:t>
      </w:r>
    </w:p>
    <w:p>
      <w:pPr>
        <w:pStyle w:val="Heading1"/>
      </w:pPr>
      <w:r>
        <w:t>1. Product Vision</w:t>
      </w:r>
    </w:p>
    <w:p>
      <w:r>
        <w:t>Profit-Bees is an event-driven trading analytics platform with configurable strategies, paper trading, operational observability and optional AI advisory capabilities. Artificial Intelligence is invoked only on explicit user request and is never part of the trade generation or execution path.</w:t>
      </w:r>
    </w:p>
    <w:p>
      <w:pPr>
        <w:pStyle w:val="Heading1"/>
      </w:pPr>
      <w:r>
        <w:t>2. Mission</w:t>
      </w:r>
    </w:p>
    <w:p>
      <w:r>
        <w:t>Provide a cloud-native, broker-independent, configuration-driven trading platform that can evolve into a multi-broker algorithmic trading analytics platform.</w:t>
      </w:r>
    </w:p>
    <w:p>
      <w:pPr>
        <w:pStyle w:val="Heading1"/>
      </w:pPr>
      <w:r>
        <w:t>3.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w:t>
            </w:r>
          </w:p>
        </w:tc>
        <w:tc>
          <w:tcPr>
            <w:tcW w:type="dxa" w:w="2880"/>
          </w:tcPr>
          <w:p>
            <w:r>
              <w:t>Interest</w:t>
            </w:r>
          </w:p>
        </w:tc>
        <w:tc>
          <w:tcPr>
            <w:tcW w:type="dxa" w:w="2880"/>
          </w:tcPr>
          <w:p>
            <w:r>
              <w:t>Responsibilities</w:t>
            </w:r>
          </w:p>
        </w:tc>
      </w:tr>
      <w:tr>
        <w:tc>
          <w:tcPr>
            <w:tcW w:type="dxa" w:w="2880"/>
          </w:tcPr>
          <w:p>
            <w:r>
              <w:t>Trader</w:t>
            </w:r>
          </w:p>
        </w:tc>
        <w:tc>
          <w:tcPr>
            <w:tcW w:type="dxa" w:w="2880"/>
          </w:tcPr>
          <w:p>
            <w:r>
              <w:t>Trading &amp; Analytics</w:t>
            </w:r>
          </w:p>
        </w:tc>
        <w:tc>
          <w:tcPr>
            <w:tcW w:type="dxa" w:w="2880"/>
          </w:tcPr>
          <w:p>
            <w:r>
              <w:t>Create strategies, monitor positions</w:t>
            </w:r>
          </w:p>
        </w:tc>
      </w:tr>
      <w:tr>
        <w:tc>
          <w:tcPr>
            <w:tcW w:type="dxa" w:w="2880"/>
          </w:tcPr>
          <w:p>
            <w:r>
              <w:t>Platform Administrator</w:t>
            </w:r>
          </w:p>
        </w:tc>
        <w:tc>
          <w:tcPr>
            <w:tcW w:type="dxa" w:w="2880"/>
          </w:tcPr>
          <w:p>
            <w:r>
              <w:t>Operations</w:t>
            </w:r>
          </w:p>
        </w:tc>
        <w:tc>
          <w:tcPr>
            <w:tcW w:type="dxa" w:w="2880"/>
          </w:tcPr>
          <w:p>
            <w:r>
              <w:t>Manage users, environments and AI billing</w:t>
            </w:r>
          </w:p>
        </w:tc>
      </w:tr>
      <w:tr>
        <w:tc>
          <w:tcPr>
            <w:tcW w:type="dxa" w:w="2880"/>
          </w:tcPr>
          <w:p>
            <w:r>
              <w:t>Solution Architect</w:t>
            </w:r>
          </w:p>
        </w:tc>
        <w:tc>
          <w:tcPr>
            <w:tcW w:type="dxa" w:w="2880"/>
          </w:tcPr>
          <w:p>
            <w:r>
              <w:t>Architecture</w:t>
            </w:r>
          </w:p>
        </w:tc>
        <w:tc>
          <w:tcPr>
            <w:tcW w:type="dxa" w:w="2880"/>
          </w:tcPr>
          <w:p>
            <w:r>
              <w:t>Govern standards and roadmap</w:t>
            </w:r>
          </w:p>
        </w:tc>
      </w:tr>
      <w:tr>
        <w:tc>
          <w:tcPr>
            <w:tcW w:type="dxa" w:w="2880"/>
          </w:tcPr>
          <w:p>
            <w:r>
              <w:t>Developers</w:t>
            </w:r>
          </w:p>
        </w:tc>
        <w:tc>
          <w:tcPr>
            <w:tcW w:type="dxa" w:w="2880"/>
          </w:tcPr>
          <w:p>
            <w:r>
              <w:t>Implementation</w:t>
            </w:r>
          </w:p>
        </w:tc>
        <w:tc>
          <w:tcPr>
            <w:tcW w:type="dxa" w:w="2880"/>
          </w:tcPr>
          <w:p>
            <w:r>
              <w:t>Develop and maintain services</w:t>
            </w:r>
          </w:p>
        </w:tc>
      </w:tr>
      <w:tr>
        <w:tc>
          <w:tcPr>
            <w:tcW w:type="dxa" w:w="2880"/>
          </w:tcPr>
          <w:p>
            <w:r>
              <w:t>DevOps</w:t>
            </w:r>
          </w:p>
        </w:tc>
        <w:tc>
          <w:tcPr>
            <w:tcW w:type="dxa" w:w="2880"/>
          </w:tcPr>
          <w:p>
            <w:r>
              <w:t>Operations</w:t>
            </w:r>
          </w:p>
        </w:tc>
        <w:tc>
          <w:tcPr>
            <w:tcW w:type="dxa" w:w="2880"/>
          </w:tcPr>
          <w:p>
            <w:r>
              <w:t>CI/CD, monitoring and releases</w:t>
            </w:r>
          </w:p>
        </w:tc>
      </w:tr>
    </w:tbl>
    <w:p>
      <w:pPr>
        <w:pStyle w:val="Heading1"/>
      </w:pPr>
      <w:r>
        <w:t>4. Functional Scope</w:t>
      </w:r>
    </w:p>
    <w:p>
      <w:pPr>
        <w:pStyle w:val="ListBullet"/>
      </w:pPr>
      <w:r>
        <w:t>Broker authentication and session management.</w:t>
      </w:r>
    </w:p>
    <w:p>
      <w:pPr>
        <w:pStyle w:val="ListBullet"/>
      </w:pPr>
      <w:r>
        <w:t>Live market data ingestion through REST and WebSocket APIs.</w:t>
      </w:r>
    </w:p>
    <w:p>
      <w:pPr>
        <w:pStyle w:val="ListBullet"/>
      </w:pPr>
      <w:r>
        <w:t>Configurable strategy creation, approval and execution.</w:t>
      </w:r>
    </w:p>
    <w:p>
      <w:pPr>
        <w:pStyle w:val="ListBullet"/>
      </w:pPr>
      <w:r>
        <w:t>Paper trading and trade lifecycle management.</w:t>
      </w:r>
    </w:p>
    <w:p>
      <w:pPr>
        <w:pStyle w:val="ListBullet"/>
      </w:pPr>
      <w:r>
        <w:t>Historical analytics and reporting.</w:t>
      </w:r>
    </w:p>
    <w:p>
      <w:pPr>
        <w:pStyle w:val="ListBullet"/>
      </w:pPr>
      <w:r>
        <w:t>Operations dashboard for monitoring and diagnostics.</w:t>
      </w:r>
    </w:p>
    <w:p>
      <w:pPr>
        <w:pStyle w:val="ListBullet"/>
      </w:pPr>
      <w:r>
        <w:t>On-demand AI trade explanations with configurable billing.</w:t>
      </w:r>
    </w:p>
    <w:p>
      <w:pPr>
        <w:pStyle w:val="ListBullet"/>
      </w:pPr>
      <w:r>
        <w:t>FR-013 – All market-related timestamps (LTP, OHLC, market depth, trade generation, trade execution, alerts and audit events) shall be normalized, stored and presented in Indian Standard Time (Asia/Kolkata).</w:t>
      </w:r>
    </w:p>
    <w:p>
      <w:pPr>
        <w:pStyle w:val="Heading1"/>
      </w:pPr>
      <w:r>
        <w:t>5. Out of Scope (Initial Release)</w:t>
      </w:r>
    </w:p>
    <w:p>
      <w:pPr>
        <w:pStyle w:val="ListBullet"/>
      </w:pPr>
      <w:r>
        <w:t>Automatic live order placement.</w:t>
      </w:r>
    </w:p>
    <w:p>
      <w:pPr>
        <w:pStyle w:val="ListBullet"/>
      </w:pPr>
      <w:r>
        <w:t>High-frequency trading.</w:t>
      </w:r>
    </w:p>
    <w:p>
      <w:pPr>
        <w:pStyle w:val="ListBullet"/>
      </w:pPr>
      <w:r>
        <w:t>Multi-region deployment.</w:t>
      </w:r>
    </w:p>
    <w:p>
      <w:pPr>
        <w:pStyle w:val="ListBullet"/>
      </w:pPr>
      <w:r>
        <w:t>Automated AI-generated trade execution.</w:t>
      </w:r>
    </w:p>
    <w:p>
      <w:pPr>
        <w:pStyle w:val="Heading1"/>
      </w:pPr>
      <w:r>
        <w:t>6. Assumptions</w:t>
      </w:r>
    </w:p>
    <w:p>
      <w:pPr>
        <w:pStyle w:val="ListBullet"/>
      </w:pPr>
      <w:r>
        <w:t>Initial broker: Motilal Oswal.</w:t>
      </w:r>
    </w:p>
    <w:p>
      <w:pPr>
        <w:pStyle w:val="ListBullet"/>
      </w:pPr>
      <w:r>
        <w:t>Google Cloud is the hosting platform.</w:t>
      </w:r>
    </w:p>
    <w:p>
      <w:pPr>
        <w:pStyle w:val="ListBullet"/>
      </w:pPr>
      <w:r>
        <w:t>Cloud Run hosts containerized microservices.</w:t>
      </w:r>
    </w:p>
    <w:p>
      <w:pPr>
        <w:pStyle w:val="ListBullet"/>
      </w:pPr>
      <w:r>
        <w:t>Cloud SQL for PostgreSQL is the primary database.</w:t>
      </w:r>
    </w:p>
    <w:p>
      <w:pPr>
        <w:pStyle w:val="ListBullet"/>
      </w:pPr>
      <w:r>
        <w:t>Redis provides cache and event distribution.</w:t>
      </w:r>
    </w:p>
    <w:p>
      <w:pPr>
        <w:pStyle w:val="Heading1"/>
      </w:pPr>
      <w:r>
        <w:t>7. Constraints</w:t>
      </w:r>
    </w:p>
    <w:p>
      <w:pPr>
        <w:pStyle w:val="ListBullet"/>
      </w:pPr>
      <w:r>
        <w:t>Development cloud budget target of approximately ₹500/month.</w:t>
      </w:r>
    </w:p>
    <w:p>
      <w:pPr>
        <w:pStyle w:val="ListBullet"/>
      </w:pPr>
      <w:r>
        <w:t>Trading decisions must remain deterministic.</w:t>
      </w:r>
    </w:p>
    <w:p>
      <w:pPr>
        <w:pStyle w:val="ListBullet"/>
      </w:pPr>
      <w:r>
        <w:t>AI availability must not impact trading functionality.</w:t>
      </w:r>
    </w:p>
    <w:p>
      <w:pPr>
        <w:pStyle w:val="Heading1"/>
      </w:pPr>
      <w:r>
        <w:t>8.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Requirement</w:t>
            </w:r>
          </w:p>
        </w:tc>
        <w:tc>
          <w:tcPr>
            <w:tcW w:type="dxa" w:w="2880"/>
          </w:tcPr>
          <w:p>
            <w:r>
              <w:t>Target / Intent</w:t>
            </w:r>
          </w:p>
        </w:tc>
      </w:tr>
      <w:tr>
        <w:tc>
          <w:tcPr>
            <w:tcW w:type="dxa" w:w="2880"/>
          </w:tcPr>
          <w:p>
            <w:r>
              <w:t>Availability</w:t>
            </w:r>
          </w:p>
        </w:tc>
        <w:tc>
          <w:tcPr>
            <w:tcW w:type="dxa" w:w="2880"/>
          </w:tcPr>
          <w:p>
            <w:r>
              <w:t>Platform available during market hours</w:t>
            </w:r>
          </w:p>
        </w:tc>
        <w:tc>
          <w:tcPr>
            <w:tcW w:type="dxa" w:w="2880"/>
          </w:tcPr>
          <w:p>
            <w:r>
              <w:t>≥99.5% market-hour availability</w:t>
            </w:r>
          </w:p>
        </w:tc>
      </w:tr>
      <w:tr>
        <w:tc>
          <w:tcPr>
            <w:tcW w:type="dxa" w:w="2880"/>
          </w:tcPr>
          <w:p>
            <w:r>
              <w:t>Performance</w:t>
            </w:r>
          </w:p>
        </w:tc>
        <w:tc>
          <w:tcPr>
            <w:tcW w:type="dxa" w:w="2880"/>
          </w:tcPr>
          <w:p>
            <w:r>
              <w:t>Low-latency strategy evaluation</w:t>
            </w:r>
          </w:p>
        </w:tc>
        <w:tc>
          <w:tcPr>
            <w:tcW w:type="dxa" w:w="2880"/>
          </w:tcPr>
          <w:p>
            <w:r>
              <w:t>&lt;100 ms after event ingestion (target)</w:t>
            </w:r>
          </w:p>
        </w:tc>
      </w:tr>
      <w:tr>
        <w:tc>
          <w:tcPr>
            <w:tcW w:type="dxa" w:w="2880"/>
          </w:tcPr>
          <w:p>
            <w:r>
              <w:t>Scalability</w:t>
            </w:r>
          </w:p>
        </w:tc>
        <w:tc>
          <w:tcPr>
            <w:tcW w:type="dxa" w:w="2880"/>
          </w:tcPr>
          <w:p>
            <w:r>
              <w:t>Horizontal scaling</w:t>
            </w:r>
          </w:p>
        </w:tc>
        <w:tc>
          <w:tcPr>
            <w:tcW w:type="dxa" w:w="2880"/>
          </w:tcPr>
          <w:p>
            <w:r>
              <w:t>Stateless services scale independently</w:t>
            </w:r>
          </w:p>
        </w:tc>
      </w:tr>
      <w:tr>
        <w:tc>
          <w:tcPr>
            <w:tcW w:type="dxa" w:w="2880"/>
          </w:tcPr>
          <w:p>
            <w:r>
              <w:t>Reliability</w:t>
            </w:r>
          </w:p>
        </w:tc>
        <w:tc>
          <w:tcPr>
            <w:tcW w:type="dxa" w:w="2880"/>
          </w:tcPr>
          <w:p>
            <w:r>
              <w:t>Recover from transient failures</w:t>
            </w:r>
          </w:p>
        </w:tc>
        <w:tc>
          <w:tcPr>
            <w:tcW w:type="dxa" w:w="2880"/>
          </w:tcPr>
          <w:p>
            <w:r>
              <w:t>Retry and reconnect mechanisms</w:t>
            </w:r>
          </w:p>
        </w:tc>
      </w:tr>
      <w:tr>
        <w:tc>
          <w:tcPr>
            <w:tcW w:type="dxa" w:w="2880"/>
          </w:tcPr>
          <w:p>
            <w:r>
              <w:t>Resilience</w:t>
            </w:r>
          </w:p>
        </w:tc>
        <w:tc>
          <w:tcPr>
            <w:tcW w:type="dxa" w:w="2880"/>
          </w:tcPr>
          <w:p>
            <w:r>
              <w:t>Broker disconnect handling</w:t>
            </w:r>
          </w:p>
        </w:tc>
        <w:tc>
          <w:tcPr>
            <w:tcW w:type="dxa" w:w="2880"/>
          </w:tcPr>
          <w:p>
            <w:r>
              <w:t>Automatic reconnect and recovery</w:t>
            </w:r>
          </w:p>
        </w:tc>
      </w:tr>
      <w:tr>
        <w:tc>
          <w:tcPr>
            <w:tcW w:type="dxa" w:w="2880"/>
          </w:tcPr>
          <w:p>
            <w:r>
              <w:t>Security</w:t>
            </w:r>
          </w:p>
        </w:tc>
        <w:tc>
          <w:tcPr>
            <w:tcW w:type="dxa" w:w="2880"/>
          </w:tcPr>
          <w:p>
            <w:r>
              <w:t>Authentication &amp; secrets</w:t>
            </w:r>
          </w:p>
        </w:tc>
        <w:tc>
          <w:tcPr>
            <w:tcW w:type="dxa" w:w="2880"/>
          </w:tcPr>
          <w:p>
            <w:r>
              <w:t>JWT, IAM, Secret Manager</w:t>
            </w:r>
          </w:p>
        </w:tc>
      </w:tr>
      <w:tr>
        <w:tc>
          <w:tcPr>
            <w:tcW w:type="dxa" w:w="2880"/>
          </w:tcPr>
          <w:p>
            <w:r>
              <w:t>Auditability</w:t>
            </w:r>
          </w:p>
        </w:tc>
        <w:tc>
          <w:tcPr>
            <w:tcW w:type="dxa" w:w="2880"/>
          </w:tcPr>
          <w:p>
            <w:r>
              <w:t>Complete business audit trail</w:t>
            </w:r>
          </w:p>
        </w:tc>
        <w:tc>
          <w:tcPr>
            <w:tcW w:type="dxa" w:w="2880"/>
          </w:tcPr>
          <w:p>
            <w:r>
              <w:t>All trade events auditable</w:t>
            </w:r>
          </w:p>
        </w:tc>
      </w:tr>
      <w:tr>
        <w:tc>
          <w:tcPr>
            <w:tcW w:type="dxa" w:w="2880"/>
          </w:tcPr>
          <w:p>
            <w:r>
              <w:t>Observability</w:t>
            </w:r>
          </w:p>
        </w:tc>
        <w:tc>
          <w:tcPr>
            <w:tcW w:type="dxa" w:w="2880"/>
          </w:tcPr>
          <w:p>
            <w:r>
              <w:t>Centralized monitoring</w:t>
            </w:r>
          </w:p>
        </w:tc>
        <w:tc>
          <w:tcPr>
            <w:tcW w:type="dxa" w:w="2880"/>
          </w:tcPr>
          <w:p>
            <w:r>
              <w:t>Logs, metrics, traces and alerts</w:t>
            </w:r>
          </w:p>
        </w:tc>
      </w:tr>
      <w:tr>
        <w:tc>
          <w:tcPr>
            <w:tcW w:type="dxa" w:w="2880"/>
          </w:tcPr>
          <w:p>
            <w:r>
              <w:t>Maintainability</w:t>
            </w:r>
          </w:p>
        </w:tc>
        <w:tc>
          <w:tcPr>
            <w:tcW w:type="dxa" w:w="2880"/>
          </w:tcPr>
          <w:p>
            <w:r>
              <w:t>Independent deployments</w:t>
            </w:r>
          </w:p>
        </w:tc>
        <w:tc>
          <w:tcPr>
            <w:tcW w:type="dxa" w:w="2880"/>
          </w:tcPr>
          <w:p>
            <w:r>
              <w:t>Microservice architecture</w:t>
            </w:r>
          </w:p>
        </w:tc>
      </w:tr>
      <w:tr>
        <w:tc>
          <w:tcPr>
            <w:tcW w:type="dxa" w:w="2880"/>
          </w:tcPr>
          <w:p>
            <w:r>
              <w:t>Extensibility</w:t>
            </w:r>
          </w:p>
        </w:tc>
        <w:tc>
          <w:tcPr>
            <w:tcW w:type="dxa" w:w="2880"/>
          </w:tcPr>
          <w:p>
            <w:r>
              <w:t>Support additional brokers</w:t>
            </w:r>
          </w:p>
        </w:tc>
        <w:tc>
          <w:tcPr>
            <w:tcW w:type="dxa" w:w="2880"/>
          </w:tcPr>
          <w:p>
            <w:r>
              <w:t>Broker abstraction layer</w:t>
            </w:r>
          </w:p>
        </w:tc>
      </w:tr>
      <w:tr>
        <w:tc>
          <w:tcPr>
            <w:tcW w:type="dxa" w:w="2880"/>
          </w:tcPr>
          <w:p>
            <w:r>
              <w:t>Configurability</w:t>
            </w:r>
          </w:p>
        </w:tc>
        <w:tc>
          <w:tcPr>
            <w:tcW w:type="dxa" w:w="2880"/>
          </w:tcPr>
          <w:p>
            <w:r>
              <w:t>No-code strategy updates</w:t>
            </w:r>
          </w:p>
        </w:tc>
        <w:tc>
          <w:tcPr>
            <w:tcW w:type="dxa" w:w="2880"/>
          </w:tcPr>
          <w:p>
            <w:r>
              <w:t>Workflow-driven strategies</w:t>
            </w:r>
          </w:p>
        </w:tc>
      </w:tr>
      <w:tr>
        <w:tc>
          <w:tcPr>
            <w:tcW w:type="dxa" w:w="2880"/>
          </w:tcPr>
          <w:p>
            <w:r>
              <w:t>Usability</w:t>
            </w:r>
          </w:p>
        </w:tc>
        <w:tc>
          <w:tcPr>
            <w:tcW w:type="dxa" w:w="2880"/>
          </w:tcPr>
          <w:p>
            <w:r>
              <w:t>Cross-device support</w:t>
            </w:r>
          </w:p>
        </w:tc>
        <w:tc>
          <w:tcPr>
            <w:tcW w:type="dxa" w:w="2880"/>
          </w:tcPr>
          <w:p>
            <w:r>
              <w:t>Responsive web application</w:t>
            </w:r>
          </w:p>
        </w:tc>
      </w:tr>
      <w:tr>
        <w:tc>
          <w:tcPr>
            <w:tcW w:type="dxa" w:w="2880"/>
          </w:tcPr>
          <w:p>
            <w:r>
              <w:t>Time Management</w:t>
            </w:r>
          </w:p>
        </w:tc>
        <w:tc>
          <w:tcPr>
            <w:tcW w:type="dxa" w:w="2880"/>
          </w:tcPr>
          <w:p>
            <w:r>
              <w:t>Consistent business timestamps</w:t>
            </w:r>
          </w:p>
        </w:tc>
        <w:tc>
          <w:tcPr>
            <w:tcW w:type="dxa" w:w="2880"/>
          </w:tcPr>
          <w:p>
            <w:r>
              <w:t>IST via ADR-TIME-001</w:t>
            </w:r>
          </w:p>
        </w:tc>
      </w:tr>
      <w:tr>
        <w:tc>
          <w:tcPr>
            <w:tcW w:type="dxa" w:w="2880"/>
          </w:tcPr>
          <w:p>
            <w:r>
              <w:t>Cost Optimization</w:t>
            </w:r>
          </w:p>
        </w:tc>
        <w:tc>
          <w:tcPr>
            <w:tcW w:type="dxa" w:w="2880"/>
          </w:tcPr>
          <w:p>
            <w:r>
              <w:t>Development environment</w:t>
            </w:r>
          </w:p>
        </w:tc>
        <w:tc>
          <w:tcPr>
            <w:tcW w:type="dxa" w:w="2880"/>
          </w:tcPr>
          <w:p>
            <w:r>
              <w:t>Approx. ₹500/month target</w:t>
            </w:r>
          </w:p>
        </w:tc>
      </w:tr>
      <w:tr>
        <w:tc>
          <w:tcPr>
            <w:tcW w:type="dxa" w:w="2880"/>
          </w:tcPr>
          <w:p>
            <w:r>
              <w:t>AI Governance</w:t>
            </w:r>
          </w:p>
        </w:tc>
        <w:tc>
          <w:tcPr>
            <w:tcW w:type="dxa" w:w="2880"/>
          </w:tcPr>
          <w:p>
            <w:r>
              <w:t>AI isolated from execution</w:t>
            </w:r>
          </w:p>
        </w:tc>
        <w:tc>
          <w:tcPr>
            <w:tcW w:type="dxa" w:w="2880"/>
          </w:tcPr>
          <w:p>
            <w:r>
              <w:t>On-demand only with configurable billing</w:t>
            </w:r>
          </w:p>
        </w:tc>
      </w:tr>
    </w:tbl>
    <w:p>
      <w:pPr>
        <w:pStyle w:val="Heading1"/>
      </w:pPr>
      <w:r>
        <w:t>9. Success Criteria</w:t>
      </w:r>
    </w:p>
    <w:p>
      <w:pPr>
        <w:pStyle w:val="ListBullet"/>
      </w:pPr>
      <w:r>
        <w:t>Strategies configurable without code changes.</w:t>
      </w:r>
    </w:p>
    <w:p>
      <w:pPr>
        <w:pStyle w:val="ListBullet"/>
      </w:pPr>
      <w:r>
        <w:t>Continuous market-hour processing.</w:t>
      </w:r>
    </w:p>
    <w:p>
      <w:pPr>
        <w:pStyle w:val="ListBullet"/>
      </w:pPr>
      <w:r>
        <w:t>Complete operational observability.</w:t>
      </w:r>
    </w:p>
    <w:p>
      <w:pPr>
        <w:pStyle w:val="ListBullet"/>
      </w:pPr>
      <w:r>
        <w:t>Consistent IST timestamps.</w:t>
      </w:r>
    </w:p>
    <w:p>
      <w:pPr>
        <w:pStyle w:val="ListBullet"/>
      </w:pPr>
      <w:r>
        <w:t>On-demand AI explanations.</w:t>
      </w:r>
    </w:p>
    <w:p>
      <w:pPr>
        <w:pStyle w:val="Heading1"/>
      </w:pPr>
      <w:r>
        <w:t>10. Business Capability Map</w:t>
      </w:r>
    </w:p>
    <w:tbl>
      <w:tblPr>
        <w:tblStyle w:val="TableGrid"/>
        <w:tblW w:type="auto" w:w="0"/>
        <w:tblLook w:firstColumn="1" w:firstRow="1" w:lastColumn="0" w:lastRow="0" w:noHBand="0" w:noVBand="1" w:val="04A0"/>
      </w:tblPr>
      <w:tblGrid>
        <w:gridCol w:w="4320"/>
        <w:gridCol w:w="4320"/>
      </w:tblGrid>
      <w:tr>
        <w:tc>
          <w:tcPr>
            <w:tcW w:type="dxa" w:w="4320"/>
          </w:tcPr>
          <w:p>
            <w:r>
              <w:t>Capability</w:t>
            </w:r>
          </w:p>
        </w:tc>
        <w:tc>
          <w:tcPr>
            <w:tcW w:type="dxa" w:w="4320"/>
          </w:tcPr>
          <w:p>
            <w:r>
              <w:t>Description</w:t>
            </w:r>
          </w:p>
        </w:tc>
      </w:tr>
      <w:tr>
        <w:tc>
          <w:tcPr>
            <w:tcW w:type="dxa" w:w="4320"/>
          </w:tcPr>
          <w:p>
            <w:r>
              <w:t>Market Connectivity</w:t>
            </w:r>
          </w:p>
        </w:tc>
        <w:tc>
          <w:tcPr>
            <w:tcW w:type="dxa" w:w="4320"/>
          </w:tcPr>
          <w:p>
            <w:r>
              <w:t>Broker login, sessions and subscriptions</w:t>
            </w:r>
          </w:p>
        </w:tc>
      </w:tr>
      <w:tr>
        <w:tc>
          <w:tcPr>
            <w:tcW w:type="dxa" w:w="4320"/>
          </w:tcPr>
          <w:p>
            <w:r>
              <w:t>Strategy Platform</w:t>
            </w:r>
          </w:p>
        </w:tc>
        <w:tc>
          <w:tcPr>
            <w:tcW w:type="dxa" w:w="4320"/>
          </w:tcPr>
          <w:p>
            <w:r>
              <w:t>Design, version and execute strategies</w:t>
            </w:r>
          </w:p>
        </w:tc>
      </w:tr>
      <w:tr>
        <w:tc>
          <w:tcPr>
            <w:tcW w:type="dxa" w:w="4320"/>
          </w:tcPr>
          <w:p>
            <w:r>
              <w:t>Trade Management</w:t>
            </w:r>
          </w:p>
        </w:tc>
        <w:tc>
          <w:tcPr>
            <w:tcW w:type="dxa" w:w="4320"/>
          </w:tcPr>
          <w:p>
            <w:r>
              <w:t>Candidate, open and closed trades</w:t>
            </w:r>
          </w:p>
        </w:tc>
      </w:tr>
      <w:tr>
        <w:tc>
          <w:tcPr>
            <w:tcW w:type="dxa" w:w="4320"/>
          </w:tcPr>
          <w:p>
            <w:r>
              <w:t>Operations</w:t>
            </w:r>
          </w:p>
        </w:tc>
        <w:tc>
          <w:tcPr>
            <w:tcW w:type="dxa" w:w="4320"/>
          </w:tcPr>
          <w:p>
            <w:r>
              <w:t>Monitoring, diagnostics and administration</w:t>
            </w:r>
          </w:p>
        </w:tc>
      </w:tr>
      <w:tr>
        <w:tc>
          <w:tcPr>
            <w:tcW w:type="dxa" w:w="4320"/>
          </w:tcPr>
          <w:p>
            <w:r>
              <w:t>AI Advisory</w:t>
            </w:r>
          </w:p>
        </w:tc>
        <w:tc>
          <w:tcPr>
            <w:tcW w:type="dxa" w:w="4320"/>
          </w:tcPr>
          <w:p>
            <w:r>
              <w:t>User-requested explanations only</w:t>
            </w:r>
          </w:p>
        </w:tc>
      </w:tr>
    </w:tbl>
    <w:p>
      <w:pPr>
        <w:pStyle w:val="Heading1"/>
      </w:pPr>
      <w:r>
        <w:t>11. NFR Traceability Matrix</w:t>
      </w:r>
    </w:p>
    <w:tbl>
      <w:tblPr>
        <w:tblStyle w:val="TableGrid"/>
        <w:tblW w:type="auto" w:w="0"/>
        <w:tblLook w:firstColumn="1" w:firstRow="1" w:lastColumn="0" w:lastRow="0" w:noHBand="0" w:noVBand="1" w:val="04A0"/>
      </w:tblPr>
      <w:tblGrid>
        <w:gridCol w:w="4320"/>
        <w:gridCol w:w="4320"/>
      </w:tblGrid>
      <w:tr>
        <w:tc>
          <w:tcPr>
            <w:tcW w:type="dxa" w:w="4320"/>
          </w:tcPr>
          <w:p>
            <w:r>
              <w:t>NFR</w:t>
            </w:r>
          </w:p>
        </w:tc>
        <w:tc>
          <w:tcPr>
            <w:tcW w:type="dxa" w:w="4320"/>
          </w:tcPr>
          <w:p>
            <w:r>
              <w:t>Primary Architectural Components</w:t>
            </w:r>
          </w:p>
        </w:tc>
      </w:tr>
      <w:tr>
        <w:tc>
          <w:tcPr>
            <w:tcW w:type="dxa" w:w="4320"/>
          </w:tcPr>
          <w:p>
            <w:r>
              <w:t>Availability</w:t>
            </w:r>
          </w:p>
        </w:tc>
        <w:tc>
          <w:tcPr>
            <w:tcW w:type="dxa" w:w="4320"/>
          </w:tcPr>
          <w:p>
            <w:r>
              <w:t>Cloud Run, Health Checks, Scheduler</w:t>
            </w:r>
          </w:p>
        </w:tc>
      </w:tr>
      <w:tr>
        <w:tc>
          <w:tcPr>
            <w:tcW w:type="dxa" w:w="4320"/>
          </w:tcPr>
          <w:p>
            <w:r>
              <w:t>Performance</w:t>
            </w:r>
          </w:p>
        </w:tc>
        <w:tc>
          <w:tcPr>
            <w:tcW w:type="dxa" w:w="4320"/>
          </w:tcPr>
          <w:p>
            <w:r>
              <w:t>Redis, Strategy Compiler, Event Bus</w:t>
            </w:r>
          </w:p>
        </w:tc>
      </w:tr>
      <w:tr>
        <w:tc>
          <w:tcPr>
            <w:tcW w:type="dxa" w:w="4320"/>
          </w:tcPr>
          <w:p>
            <w:r>
              <w:t>Security</w:t>
            </w:r>
          </w:p>
        </w:tc>
        <w:tc>
          <w:tcPr>
            <w:tcW w:type="dxa" w:w="4320"/>
          </w:tcPr>
          <w:p>
            <w:r>
              <w:t>Spring Security, JWT, Secret Manager</w:t>
            </w:r>
          </w:p>
        </w:tc>
      </w:tr>
      <w:tr>
        <w:tc>
          <w:tcPr>
            <w:tcW w:type="dxa" w:w="4320"/>
          </w:tcPr>
          <w:p>
            <w:r>
              <w:t>Observability</w:t>
            </w:r>
          </w:p>
        </w:tc>
        <w:tc>
          <w:tcPr>
            <w:tcW w:type="dxa" w:w="4320"/>
          </w:tcPr>
          <w:p>
            <w:r>
              <w:t>Cloud Logging, Monitoring, Trace</w:t>
            </w:r>
          </w:p>
        </w:tc>
      </w:tr>
      <w:tr>
        <w:tc>
          <w:tcPr>
            <w:tcW w:type="dxa" w:w="4320"/>
          </w:tcPr>
          <w:p>
            <w:r>
              <w:t>Time Management</w:t>
            </w:r>
          </w:p>
        </w:tc>
        <w:tc>
          <w:tcPr>
            <w:tcW w:type="dxa" w:w="4320"/>
          </w:tcPr>
          <w:p>
            <w:r>
              <w:t>Centralized Time Service, PostgreSQL timestamptz</w:t>
            </w:r>
          </w:p>
        </w:tc>
      </w:tr>
      <w:tr>
        <w:tc>
          <w:tcPr>
            <w:tcW w:type="dxa" w:w="4320"/>
          </w:tcPr>
          <w:p>
            <w:r>
              <w:t>AI Governance</w:t>
            </w:r>
          </w:p>
        </w:tc>
        <w:tc>
          <w:tcPr>
            <w:tcW w:type="dxa" w:w="4320"/>
          </w:tcPr>
          <w:p>
            <w:r>
              <w:t>AI Service, Billing Module, Explain Trade API</w:t>
            </w:r>
          </w:p>
        </w:tc>
      </w:tr>
    </w:tbl>
    <w:p>
      <w:pPr>
        <w:pStyle w:val="Heading1"/>
      </w:pPr>
      <w:r>
        <w:t>12. Architecture Decision References</w:t>
      </w:r>
    </w:p>
    <w:p>
      <w:pPr>
        <w:pStyle w:val="ListBullet"/>
      </w:pPr>
      <w:r>
        <w:t>ADR-AI-001 – AI is an on-demand advisory capability with configurable billing.</w:t>
      </w:r>
    </w:p>
    <w:p>
      <w:pPr>
        <w:pStyle w:val="ListBullet"/>
      </w:pPr>
      <w:r>
        <w:t>ADR-TIME-001 – Centralized Time Service provides application time in Asia/Kolkata.</w:t>
      </w:r>
    </w:p>
    <w:p>
      <w:pPr>
        <w:pStyle w:val="ListBullet"/>
      </w:pPr>
      <w:r>
        <w:t>Rule Engine is the sole authority for trade generation.</w:t>
      </w:r>
    </w:p>
    <w:p>
      <w:pPr>
        <w:pStyle w:val="ListBullet"/>
      </w:pPr>
      <w:r>
        <w:t>Strategies are configuration-driven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