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Profit-Bees Architecture Review Package 1</w:t>
        <w:br/>
        <w:t>Document 03 – High Level Architecture</w:t>
      </w:r>
    </w:p>
    <w:p>
      <w:r>
        <w:t>Version: 0.1 (Review Draft)</w:t>
      </w:r>
    </w:p>
    <w:p>
      <w:pPr>
        <w:pStyle w:val="Heading1"/>
      </w:pPr>
      <w:r>
        <w:t>1. Architectural Overview</w:t>
      </w:r>
    </w:p>
    <w:p>
      <w:r>
        <w:t>Profit-Bees is designed as a cloud-native, event-driven microservices platform. Market events are ingested from the broker, normalized, cached, evaluated by a deterministic strategy engine, and persisted. AI is isolated as an optional advisory service and is never part of the trade execution path.</w:t>
      </w:r>
    </w:p>
    <w:p>
      <w:pPr>
        <w:pStyle w:val="Heading1"/>
      </w:pPr>
      <w:r>
        <w:t>2. High Level Logical Architecture</w:t>
      </w:r>
    </w:p>
    <w:p>
      <w:r>
        <w:br/>
        <w:t>Presentation Layer</w:t>
        <w:br/>
        <w:t xml:space="preserve">  ↓</w:t>
        <w:br/>
        <w:t>API Gateway</w:t>
        <w:br/>
        <w:t xml:space="preserve">  ↓</w:t>
        <w:br/>
        <w:t>Authentication</w:t>
        <w:br/>
        <w:t xml:space="preserve">  ↓</w:t>
        <w:br/>
        <w:t>Business Microservices</w:t>
        <w:br/>
        <w:t xml:space="preserve">  ├─ Broker Integration</w:t>
        <w:br/>
        <w:t xml:space="preserve">  ├─ Market Data Collector</w:t>
        <w:br/>
        <w:t xml:space="preserve">  ├─ Strategy Platform</w:t>
        <w:br/>
        <w:t xml:space="preserve">  ├─ Trade Lifecycle</w:t>
        <w:br/>
        <w:t xml:space="preserve">  ├─ Notification</w:t>
        <w:br/>
        <w:t xml:space="preserve">  ├─ AI Advisory</w:t>
        <w:br/>
        <w:t xml:space="preserve">  └─ Operations</w:t>
        <w:br/>
        <w:t xml:space="preserve">  ↓</w:t>
        <w:br/>
        <w:t>Redis + PostgreSQL</w:t>
        <w:br/>
      </w:r>
    </w:p>
    <w:p>
      <w:pPr>
        <w:pStyle w:val="Heading1"/>
      </w:pPr>
      <w:r>
        <w:t>3. Core Microservices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Responsibilities</w:t>
            </w:r>
          </w:p>
        </w:tc>
        <w:tc>
          <w:tcPr>
            <w:tcW w:type="dxa" w:w="2880"/>
          </w:tcPr>
          <w:p>
            <w:r>
              <w:t>Deployment</w:t>
            </w:r>
          </w:p>
        </w:tc>
      </w:tr>
      <w:tr>
        <w:tc>
          <w:tcPr>
            <w:tcW w:type="dxa" w:w="2880"/>
          </w:tcPr>
          <w:p>
            <w:r>
              <w:t>API Gateway</w:t>
            </w:r>
          </w:p>
        </w:tc>
        <w:tc>
          <w:tcPr>
            <w:tcW w:type="dxa" w:w="2880"/>
          </w:tcPr>
          <w:p>
            <w:r>
              <w:t>Routing, authentication, throttling</w:t>
            </w:r>
          </w:p>
        </w:tc>
        <w:tc>
          <w:tcPr>
            <w:tcW w:type="dxa" w:w="2880"/>
          </w:tcPr>
          <w:p>
            <w:r>
              <w:t>Cloud Run</w:t>
            </w:r>
          </w:p>
        </w:tc>
      </w:tr>
      <w:tr>
        <w:tc>
          <w:tcPr>
            <w:tcW w:type="dxa" w:w="2880"/>
          </w:tcPr>
          <w:p>
            <w:r>
              <w:t>Broker Integration</w:t>
            </w:r>
          </w:p>
        </w:tc>
        <w:tc>
          <w:tcPr>
            <w:tcW w:type="dxa" w:w="2880"/>
          </w:tcPr>
          <w:p>
            <w:r>
              <w:t>Broker login, token refresh, WebSocket</w:t>
            </w:r>
          </w:p>
        </w:tc>
        <w:tc>
          <w:tcPr>
            <w:tcW w:type="dxa" w:w="2880"/>
          </w:tcPr>
          <w:p>
            <w:r>
              <w:t>Cloud Run (always on during market hours)</w:t>
            </w:r>
          </w:p>
        </w:tc>
      </w:tr>
      <w:tr>
        <w:tc>
          <w:tcPr>
            <w:tcW w:type="dxa" w:w="2880"/>
          </w:tcPr>
          <w:p>
            <w:r>
              <w:t>Market Collector</w:t>
            </w:r>
          </w:p>
        </w:tc>
        <w:tc>
          <w:tcPr>
            <w:tcW w:type="dxa" w:w="2880"/>
          </w:tcPr>
          <w:p>
            <w:r>
              <w:t>Normalize market events, publish to Redis</w:t>
            </w:r>
          </w:p>
        </w:tc>
        <w:tc>
          <w:tcPr>
            <w:tcW w:type="dxa" w:w="2880"/>
          </w:tcPr>
          <w:p>
            <w:r>
              <w:t>Cloud Run</w:t>
            </w:r>
          </w:p>
        </w:tc>
      </w:tr>
      <w:tr>
        <w:tc>
          <w:tcPr>
            <w:tcW w:type="dxa" w:w="2880"/>
          </w:tcPr>
          <w:p>
            <w:r>
              <w:t>Strategy Platform</w:t>
            </w:r>
          </w:p>
        </w:tc>
        <w:tc>
          <w:tcPr>
            <w:tcW w:type="dxa" w:w="2880"/>
          </w:tcPr>
          <w:p>
            <w:r>
              <w:t>Compile, manage and execute workflows</w:t>
            </w:r>
          </w:p>
        </w:tc>
        <w:tc>
          <w:tcPr>
            <w:tcW w:type="dxa" w:w="2880"/>
          </w:tcPr>
          <w:p>
            <w:r>
              <w:t>Cloud Run</w:t>
            </w:r>
          </w:p>
        </w:tc>
      </w:tr>
      <w:tr>
        <w:tc>
          <w:tcPr>
            <w:tcW w:type="dxa" w:w="2880"/>
          </w:tcPr>
          <w:p>
            <w:r>
              <w:t>Trade Lifecycle</w:t>
            </w:r>
          </w:p>
        </w:tc>
        <w:tc>
          <w:tcPr>
            <w:tcW w:type="dxa" w:w="2880"/>
          </w:tcPr>
          <w:p>
            <w:r>
              <w:t>Candidate/open/closed trade management</w:t>
            </w:r>
          </w:p>
        </w:tc>
        <w:tc>
          <w:tcPr>
            <w:tcW w:type="dxa" w:w="2880"/>
          </w:tcPr>
          <w:p>
            <w:r>
              <w:t>Cloud Run</w:t>
            </w:r>
          </w:p>
        </w:tc>
      </w:tr>
      <w:tr>
        <w:tc>
          <w:tcPr>
            <w:tcW w:type="dxa" w:w="2880"/>
          </w:tcPr>
          <w:p>
            <w:r>
              <w:t>AI Advisory</w:t>
            </w:r>
          </w:p>
        </w:tc>
        <w:tc>
          <w:tcPr>
            <w:tcW w:type="dxa" w:w="2880"/>
          </w:tcPr>
          <w:p>
            <w:r>
              <w:t>Explain trades on demand only</w:t>
            </w:r>
          </w:p>
        </w:tc>
        <w:tc>
          <w:tcPr>
            <w:tcW w:type="dxa" w:w="2880"/>
          </w:tcPr>
          <w:p>
            <w:r>
              <w:t>Cloud Run (scale-to-zero)</w:t>
            </w:r>
          </w:p>
        </w:tc>
      </w:tr>
      <w:tr>
        <w:tc>
          <w:tcPr>
            <w:tcW w:type="dxa" w:w="2880"/>
          </w:tcPr>
          <w:p>
            <w:r>
              <w:t>Notification</w:t>
            </w:r>
          </w:p>
        </w:tc>
        <w:tc>
          <w:tcPr>
            <w:tcW w:type="dxa" w:w="2880"/>
          </w:tcPr>
          <w:p>
            <w:r>
              <w:t>Alerts and notifications</w:t>
            </w:r>
          </w:p>
        </w:tc>
        <w:tc>
          <w:tcPr>
            <w:tcW w:type="dxa" w:w="2880"/>
          </w:tcPr>
          <w:p>
            <w:r>
              <w:t>Cloud Run</w:t>
            </w:r>
          </w:p>
        </w:tc>
      </w:tr>
      <w:tr>
        <w:tc>
          <w:tcPr>
            <w:tcW w:type="dxa" w:w="2880"/>
          </w:tcPr>
          <w:p>
            <w:r>
              <w:t>Operations</w:t>
            </w:r>
          </w:p>
        </w:tc>
        <w:tc>
          <w:tcPr>
            <w:tcW w:type="dxa" w:w="2880"/>
          </w:tcPr>
          <w:p>
            <w:r>
              <w:t>Health, diagnostics and administration</w:t>
            </w:r>
          </w:p>
        </w:tc>
        <w:tc>
          <w:tcPr>
            <w:tcW w:type="dxa" w:w="2880"/>
          </w:tcPr>
          <w:p>
            <w:r>
              <w:t>Cloud Run</w:t>
            </w:r>
          </w:p>
        </w:tc>
      </w:tr>
    </w:tbl>
    <w:p>
      <w:pPr>
        <w:pStyle w:val="Heading1"/>
      </w:pPr>
      <w:r>
        <w:t>4. Event Flow</w:t>
      </w:r>
    </w:p>
    <w:p>
      <w:pPr>
        <w:pStyle w:val="ListBullet"/>
      </w:pPr>
      <w:r>
        <w:t>Broker WebSocket receives market ticks.</w:t>
      </w:r>
    </w:p>
    <w:p>
      <w:pPr>
        <w:pStyle w:val="ListBullet"/>
      </w:pPr>
      <w:r>
        <w:t>Market Collector normalizes payloads.</w:t>
      </w:r>
    </w:p>
    <w:p>
      <w:pPr>
        <w:pStyle w:val="ListBullet"/>
      </w:pPr>
      <w:r>
        <w:t>Normalized events are cached in Redis and published.</w:t>
      </w:r>
    </w:p>
    <w:p>
      <w:pPr>
        <w:pStyle w:val="ListBullet"/>
      </w:pPr>
      <w:r>
        <w:t>Strategy Engine evaluates configured workflows.</w:t>
      </w:r>
    </w:p>
    <w:p>
      <w:pPr>
        <w:pStyle w:val="ListBullet"/>
      </w:pPr>
      <w:r>
        <w:t>Trade Lifecycle manages trade states.</w:t>
      </w:r>
    </w:p>
    <w:p>
      <w:pPr>
        <w:pStyle w:val="ListBullet"/>
      </w:pPr>
      <w:r>
        <w:t>Results are stored in PostgreSQL.</w:t>
      </w:r>
    </w:p>
    <w:p>
      <w:pPr>
        <w:pStyle w:val="ListBullet"/>
      </w:pPr>
      <w:r>
        <w:t>Users may request AI explanations from the Positions screen.</w:t>
      </w:r>
    </w:p>
    <w:p>
      <w:pPr>
        <w:pStyle w:val="Heading1"/>
      </w:pPr>
      <w:r>
        <w:t>5. Key Architectural Decisions</w:t>
      </w:r>
    </w:p>
    <w:p>
      <w:pPr>
        <w:pStyle w:val="ListBullet"/>
      </w:pPr>
      <w:r>
        <w:t>ADR-AI-001: AI is on-demand and outside the execution path.</w:t>
      </w:r>
    </w:p>
    <w:p>
      <w:pPr>
        <w:pStyle w:val="ListBullet"/>
      </w:pPr>
      <w:r>
        <w:t>ADR-TIME-001: Centralized Time Service supplies IST business timestamps.</w:t>
      </w:r>
    </w:p>
    <w:p>
      <w:pPr>
        <w:pStyle w:val="ListBullet"/>
      </w:pPr>
      <w:r>
        <w:t>Strategies are configuration-driven workflows.</w:t>
      </w:r>
    </w:p>
    <w:p>
      <w:pPr>
        <w:pStyle w:val="ListBullet"/>
      </w:pPr>
      <w:r>
        <w:t>Rule Engine is the only component authorized to generate trades.</w:t>
      </w:r>
    </w:p>
    <w:p>
      <w:pPr>
        <w:pStyle w:val="ListBullet"/>
      </w:pPr>
      <w:r>
        <w:t>Broker integrations are abstracted behind a Broker Service.</w:t>
      </w:r>
    </w:p>
    <w:p>
      <w:pPr>
        <w:pStyle w:val="Heading1"/>
      </w:pPr>
      <w:r>
        <w:t>6. Deployment Architecture</w:t>
      </w:r>
    </w:p>
    <w:p>
      <w:r>
        <w:t>All application services are packaged as Docker containers and deployed independently to Google Cloud Run. PostgreSQL is hosted on Cloud SQL. Redis is provided by Memorystore. Container images are stored in Artifact Registry and deployed via Cloud Build/Cloud Deploy.</w:t>
      </w:r>
    </w:p>
    <w:p>
      <w:pPr>
        <w:pStyle w:val="Heading1"/>
      </w:pPr>
      <w:r>
        <w:t>7. Data Ownership</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Owns</w:t>
            </w:r>
          </w:p>
        </w:tc>
      </w:tr>
      <w:tr>
        <w:tc>
          <w:tcPr>
            <w:tcW w:type="dxa" w:w="4320"/>
          </w:tcPr>
          <w:p>
            <w:r>
              <w:t>Broker Integration</w:t>
            </w:r>
          </w:p>
        </w:tc>
        <w:tc>
          <w:tcPr>
            <w:tcW w:type="dxa" w:w="4320"/>
          </w:tcPr>
          <w:p>
            <w:r>
              <w:t>Broker sessions</w:t>
            </w:r>
          </w:p>
        </w:tc>
      </w:tr>
      <w:tr>
        <w:tc>
          <w:tcPr>
            <w:tcW w:type="dxa" w:w="4320"/>
          </w:tcPr>
          <w:p>
            <w:r>
              <w:t>Market Collector</w:t>
            </w:r>
          </w:p>
        </w:tc>
        <w:tc>
          <w:tcPr>
            <w:tcW w:type="dxa" w:w="4320"/>
          </w:tcPr>
          <w:p>
            <w:r>
              <w:t>Normalized market events</w:t>
            </w:r>
          </w:p>
        </w:tc>
      </w:tr>
      <w:tr>
        <w:tc>
          <w:tcPr>
            <w:tcW w:type="dxa" w:w="4320"/>
          </w:tcPr>
          <w:p>
            <w:r>
              <w:t>Strategy Platform</w:t>
            </w:r>
          </w:p>
        </w:tc>
        <w:tc>
          <w:tcPr>
            <w:tcW w:type="dxa" w:w="4320"/>
          </w:tcPr>
          <w:p>
            <w:r>
              <w:t>Strategies and compiled workflows</w:t>
            </w:r>
          </w:p>
        </w:tc>
      </w:tr>
      <w:tr>
        <w:tc>
          <w:tcPr>
            <w:tcW w:type="dxa" w:w="4320"/>
          </w:tcPr>
          <w:p>
            <w:r>
              <w:t>Trade Lifecycle</w:t>
            </w:r>
          </w:p>
        </w:tc>
        <w:tc>
          <w:tcPr>
            <w:tcW w:type="dxa" w:w="4320"/>
          </w:tcPr>
          <w:p>
            <w:r>
              <w:t>Trades and positions</w:t>
            </w:r>
          </w:p>
        </w:tc>
      </w:tr>
      <w:tr>
        <w:tc>
          <w:tcPr>
            <w:tcW w:type="dxa" w:w="4320"/>
          </w:tcPr>
          <w:p>
            <w:r>
              <w:t>Operations</w:t>
            </w:r>
          </w:p>
        </w:tc>
        <w:tc>
          <w:tcPr>
            <w:tcW w:type="dxa" w:w="4320"/>
          </w:tcPr>
          <w:p>
            <w:r>
              <w:t>Health metadata</w:t>
            </w:r>
          </w:p>
        </w:tc>
      </w:tr>
      <w:tr>
        <w:tc>
          <w:tcPr>
            <w:tcW w:type="dxa" w:w="4320"/>
          </w:tcPr>
          <w:p>
            <w:r>
              <w:t>AI Advisory</w:t>
            </w:r>
          </w:p>
        </w:tc>
        <w:tc>
          <w:tcPr>
            <w:tcW w:type="dxa" w:w="4320"/>
          </w:tcPr>
          <w:p>
            <w:r>
              <w:t>Prompt templates and explanation cache</w:t>
            </w:r>
          </w:p>
        </w:tc>
      </w:tr>
    </w:tbl>
    <w:p>
      <w:pPr>
        <w:pStyle w:val="Heading1"/>
      </w:pPr>
      <w:r>
        <w:t>8. Observability Overview</w:t>
      </w:r>
    </w:p>
    <w:p>
      <w:pPr>
        <w:pStyle w:val="ListBullet"/>
      </w:pPr>
      <w:r>
        <w:t>Every service exposes health endpoints.</w:t>
      </w:r>
    </w:p>
    <w:p>
      <w:pPr>
        <w:pStyle w:val="ListBullet"/>
      </w:pPr>
      <w:r>
        <w:t>Centralized logging with correlation IDs.</w:t>
      </w:r>
    </w:p>
    <w:p>
      <w:pPr>
        <w:pStyle w:val="ListBullet"/>
      </w:pPr>
      <w:r>
        <w:t>Metrics collected for latency, throughput and failures.</w:t>
      </w:r>
    </w:p>
    <w:p>
      <w:pPr>
        <w:pStyle w:val="ListBullet"/>
      </w:pPr>
      <w:r>
        <w:t>Distributed tracing across service boundaries.</w:t>
      </w:r>
    </w:p>
    <w:p>
      <w:pPr>
        <w:pStyle w:val="ListBullet"/>
      </w:pPr>
      <w:r>
        <w:t>Operations dashboard provides runtime visibility.</w:t>
      </w:r>
    </w:p>
    <w:p>
      <w:pPr>
        <w:pStyle w:val="Heading1"/>
      </w:pPr>
      <w:r>
        <w:t>9. Security Overview</w:t>
      </w:r>
    </w:p>
    <w:p>
      <w:pPr>
        <w:pStyle w:val="ListBullet"/>
      </w:pPr>
      <w:r>
        <w:t>JWT-based authentication.</w:t>
      </w:r>
    </w:p>
    <w:p>
      <w:pPr>
        <w:pStyle w:val="ListBullet"/>
      </w:pPr>
      <w:r>
        <w:t>Secrets stored in Secret Manager.</w:t>
      </w:r>
    </w:p>
    <w:p>
      <w:pPr>
        <w:pStyle w:val="ListBullet"/>
      </w:pPr>
      <w:r>
        <w:t>TLS for all communication.</w:t>
      </w:r>
    </w:p>
    <w:p>
      <w:pPr>
        <w:pStyle w:val="ListBullet"/>
      </w:pPr>
      <w:r>
        <w:t>Role-based access for administration.</w:t>
      </w:r>
    </w:p>
    <w:p>
      <w:pPr>
        <w:pStyle w:val="Heading1"/>
      </w:pPr>
      <w:r>
        <w:t>10. Architecture Roadmap</w:t>
      </w:r>
    </w:p>
    <w:p>
      <w:pPr>
        <w:pStyle w:val="ListBullet"/>
      </w:pPr>
      <w:r>
        <w:t>Phase 1: Authentication, broker integration, market ingestion.</w:t>
      </w:r>
    </w:p>
    <w:p>
      <w:pPr>
        <w:pStyle w:val="ListBullet"/>
      </w:pPr>
      <w:r>
        <w:t>Phase 2: Strategy platform and paper trading.</w:t>
      </w:r>
    </w:p>
    <w:p>
      <w:pPr>
        <w:pStyle w:val="ListBullet"/>
      </w:pPr>
      <w:r>
        <w:t>Phase 3: Observability and operations console.</w:t>
      </w:r>
    </w:p>
    <w:p>
      <w:pPr>
        <w:pStyle w:val="ListBullet"/>
      </w:pPr>
      <w:r>
        <w:t>Phase 4: AI advisory and advanced analytics.</w:t>
      </w:r>
    </w:p>
    <w:p>
      <w:pPr>
        <w:pStyle w:val="ListBullet"/>
      </w:pPr>
      <w:r>
        <w:t>Phase 5: Optional live trading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