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UCUCI Bank Loan Repayment Analysis</w:t>
      </w:r>
    </w:p>
    <w:p>
      <w:pPr>
        <w:pStyle w:val="Subtitle"/>
      </w:pPr>
      <w:r>
        <w:t>Improving repayment performance and reducing default exposure</w:t>
      </w:r>
    </w:p>
    <w:p>
      <w:r>
        <w:rPr>
          <w:b/>
        </w:rPr>
        <w:t xml:space="preserve">Format validation note: </w:t>
      </w:r>
      <w:r>
        <w:t>editable report text uses Arial at 12 pt or larger. Chart labels are embedded in source images and may render smaller because they are part of the visuals.</w:t>
      </w:r>
    </w:p>
    <w:p>
      <w:pPr>
        <w:pStyle w:val="Heading1"/>
      </w:pPr>
      <w:r>
        <w:t>Business Context</w:t>
      </w:r>
    </w:p>
    <w:p>
      <w:r>
        <w:rPr>
          <w:b w:val="0"/>
        </w:rPr>
        <w:t>UCUCI Bank has a large retail loan portfolio covering debt consolidation, credit card, home improvement, small business, personal, and other loan purposes. While the portfolio-level repayment rate looks healthy, defaults and delinquency are not evenly distributed.</w:t>
      </w:r>
    </w:p>
    <w:p>
      <w:r>
        <w:rPr>
          <w:b/>
        </w:rPr>
        <w:t>The business problem is to identify which loan characteristics are linked with weak repayment, then use those patterns to improve future lending decisions and prioritise recovery for active loans before they become charged off.</w:t>
      </w:r>
    </w:p>
    <w:p>
      <w:pPr>
        <w:pStyle w:val="Heading2"/>
      </w:pPr>
      <w:r>
        <w:t>Business Objective</w:t>
      </w:r>
    </w:p>
    <w:p>
      <w:pPr>
        <w:pStyle w:val="ListBullet"/>
        <w:spacing w:after="80"/>
        <w:ind w:left="360" w:hanging="360"/>
      </w:pPr>
      <w:r>
        <w:t>Find the main drivers of completed-loan repayment rate across grade, interest rate, DTI, term, purpose, and combined risk groups.</w:t>
      </w:r>
    </w:p>
    <w:p>
      <w:pPr>
        <w:pStyle w:val="ListBullet"/>
        <w:spacing w:after="80"/>
        <w:ind w:left="360" w:hanging="360"/>
      </w:pPr>
      <w:r>
        <w:t>Use completed-loan behaviour to infer which active loans are more likely to become repayment problems.</w:t>
      </w:r>
    </w:p>
    <w:p>
      <w:pPr>
        <w:pStyle w:val="ListBullet"/>
        <w:spacing w:after="80"/>
        <w:ind w:left="360" w:hanging="360"/>
      </w:pPr>
      <w:r>
        <w:t>Recommend practical policy and recovery actions that can improve repayment performance and reduce default exposure.</w:t>
      </w:r>
    </w:p>
    <w:p>
      <w:pPr>
        <w:pStyle w:val="Heading1"/>
      </w:pPr>
      <w:r>
        <w:t>Dataset and Key Metrics</w:t>
      </w:r>
    </w:p>
    <w:tbl>
      <w:tblPr>
        <w:tblW w:type="auto" w:w="0"/>
        <w:jc w:val="left"/>
        <w:tblLayout w:type="fixed"/>
        <w:tblLook w:firstColumn="1" w:firstRow="1" w:lastColumn="0" w:lastRow="0" w:noHBand="0" w:noVBand="1" w:val="04A0"/>
      </w:tblPr>
      <w:tblGrid>
        <w:gridCol w:w="4896"/>
        <w:gridCol w:w="4896"/>
      </w:tblGrid>
      <w:tr>
        <w:tc>
          <w:tcPr>
            <w:tcW w:type="dxa" w:w="2232"/>
            <w:tcMar>
              <w:top w:w="120" w:type="dxa"/>
              <w:start w:w="120" w:type="dxa"/>
              <w:bottom w:w="120" w:type="dxa"/>
              <w:end w:w="120" w:type="dxa"/>
            </w:tcMar>
            <w:tcBorders>
              <w:top w:val="single" w:sz="4" w:space="0" w:color="D9E2EC"/>
              <w:left w:val="single" w:sz="4" w:space="0" w:color="D9E2EC"/>
              <w:bottom w:val="single" w:sz="4" w:space="0" w:color="D9E2EC"/>
              <w:right w:val="single" w:sz="4" w:space="0" w:color="D9E2EC"/>
            </w:tcBorders>
            <w:shd w:fill="E7F5EE"/>
            <w:vAlign w:val="center"/>
          </w:tcPr>
          <w:p>
            <w:pPr>
              <w:spacing w:after="0"/>
            </w:pPr>
            <w:r>
              <w:rPr>
                <w:b/>
              </w:rPr>
              <w:t>Item</w:t>
            </w:r>
          </w:p>
        </w:tc>
        <w:tc>
          <w:tcPr>
            <w:tcW w:type="dxa" w:w="7128"/>
            <w:tcMar>
              <w:top w:w="120" w:type="dxa"/>
              <w:start w:w="120" w:type="dxa"/>
              <w:bottom w:w="120" w:type="dxa"/>
              <w:end w:w="120" w:type="dxa"/>
            </w:tcMar>
            <w:tcBorders>
              <w:top w:val="single" w:sz="4" w:space="0" w:color="D9E2EC"/>
              <w:left w:val="single" w:sz="4" w:space="0" w:color="D9E2EC"/>
              <w:bottom w:val="single" w:sz="4" w:space="0" w:color="D9E2EC"/>
              <w:right w:val="single" w:sz="4" w:space="0" w:color="D9E2EC"/>
            </w:tcBorders>
            <w:shd w:fill="E7F5EE"/>
            <w:vAlign w:val="center"/>
          </w:tcPr>
          <w:p>
            <w:pPr>
              <w:spacing w:after="0"/>
            </w:pPr>
            <w:r>
              <w:rPr>
                <w:b/>
              </w:rPr>
              <w:t>Details</w:t>
            </w:r>
          </w:p>
        </w:tc>
      </w:tr>
      <w:tr>
        <w:tc>
          <w:tcPr>
            <w:tcW w:type="dxa" w:w="4896"/>
            <w:vAlign w:val="center"/>
            <w:tcMar>
              <w:top w:w="120" w:type="dxa"/>
              <w:start w:w="120" w:type="dxa"/>
              <w:bottom w:w="120" w:type="dxa"/>
              <w:end w:w="120" w:type="dxa"/>
            </w:tcMar>
            <w:tcBorders>
              <w:top w:val="single" w:sz="4" w:space="0" w:color="D9E2EC"/>
              <w:left w:val="single" w:sz="4" w:space="0" w:color="D9E2EC"/>
              <w:bottom w:val="single" w:sz="4" w:space="0" w:color="D9E2EC"/>
              <w:right w:val="single" w:sz="4" w:space="0" w:color="D9E2EC"/>
            </w:tcBorders>
          </w:tcPr>
          <w:p>
            <w:pPr>
              <w:spacing w:after="0"/>
            </w:pPr>
            <w:r>
              <w:t>Dataset</w:t>
            </w:r>
          </w:p>
        </w:tc>
        <w:tc>
          <w:tcPr>
            <w:tcW w:type="dxa" w:w="4896"/>
            <w:vAlign w:val="center"/>
            <w:tcMar>
              <w:top w:w="120" w:type="dxa"/>
              <w:start w:w="120" w:type="dxa"/>
              <w:bottom w:w="120" w:type="dxa"/>
              <w:end w:w="120" w:type="dxa"/>
            </w:tcMar>
            <w:tcBorders>
              <w:top w:val="single" w:sz="4" w:space="0" w:color="D9E2EC"/>
              <w:left w:val="single" w:sz="4" w:space="0" w:color="D9E2EC"/>
              <w:bottom w:val="single" w:sz="4" w:space="0" w:color="D9E2EC"/>
              <w:right w:val="single" w:sz="4" w:space="0" w:color="D9E2EC"/>
            </w:tcBorders>
          </w:tcPr>
          <w:p>
            <w:pPr>
              <w:spacing w:after="0"/>
            </w:pPr>
            <w:r>
              <w:t>UCUCI Bank Loan Dataset</w:t>
            </w:r>
          </w:p>
        </w:tc>
      </w:tr>
      <w:tr>
        <w:tc>
          <w:tcPr>
            <w:tcW w:type="dxa" w:w="4896"/>
            <w:vAlign w:val="center"/>
            <w:tcMar>
              <w:top w:w="120" w:type="dxa"/>
              <w:start w:w="120" w:type="dxa"/>
              <w:bottom w:w="120" w:type="dxa"/>
              <w:end w:w="120" w:type="dxa"/>
            </w:tcMar>
            <w:tcBorders>
              <w:top w:val="single" w:sz="4" w:space="0" w:color="D9E2EC"/>
              <w:left w:val="single" w:sz="4" w:space="0" w:color="D9E2EC"/>
              <w:bottom w:val="single" w:sz="4" w:space="0" w:color="D9E2EC"/>
              <w:right w:val="single" w:sz="4" w:space="0" w:color="D9E2EC"/>
            </w:tcBorders>
          </w:tcPr>
          <w:p>
            <w:pPr>
              <w:spacing w:after="0"/>
            </w:pPr>
            <w:r>
              <w:t>Shape</w:t>
            </w:r>
          </w:p>
        </w:tc>
        <w:tc>
          <w:tcPr>
            <w:tcW w:type="dxa" w:w="4896"/>
            <w:vAlign w:val="center"/>
            <w:tcMar>
              <w:top w:w="120" w:type="dxa"/>
              <w:start w:w="120" w:type="dxa"/>
              <w:bottom w:w="120" w:type="dxa"/>
              <w:end w:w="120" w:type="dxa"/>
            </w:tcMar>
            <w:tcBorders>
              <w:top w:val="single" w:sz="4" w:space="0" w:color="D9E2EC"/>
              <w:left w:val="single" w:sz="4" w:space="0" w:color="D9E2EC"/>
              <w:bottom w:val="single" w:sz="4" w:space="0" w:color="D9E2EC"/>
              <w:right w:val="single" w:sz="4" w:space="0" w:color="D9E2EC"/>
            </w:tcBorders>
          </w:tcPr>
          <w:p>
            <w:pPr>
              <w:spacing w:after="0"/>
            </w:pPr>
            <w:r>
              <w:t>887,379 rows and 57 columns</w:t>
            </w:r>
          </w:p>
        </w:tc>
      </w:tr>
      <w:tr>
        <w:tc>
          <w:tcPr>
            <w:tcW w:type="dxa" w:w="4896"/>
            <w:vAlign w:val="center"/>
            <w:tcMar>
              <w:top w:w="120" w:type="dxa"/>
              <w:start w:w="120" w:type="dxa"/>
              <w:bottom w:w="120" w:type="dxa"/>
              <w:end w:w="120" w:type="dxa"/>
            </w:tcMar>
            <w:tcBorders>
              <w:top w:val="single" w:sz="4" w:space="0" w:color="D9E2EC"/>
              <w:left w:val="single" w:sz="4" w:space="0" w:color="D9E2EC"/>
              <w:bottom w:val="single" w:sz="4" w:space="0" w:color="D9E2EC"/>
              <w:right w:val="single" w:sz="4" w:space="0" w:color="D9E2EC"/>
            </w:tcBorders>
          </w:tcPr>
          <w:p>
            <w:pPr>
              <w:spacing w:after="0"/>
            </w:pPr>
            <w:r>
              <w:t>Loan record check</w:t>
            </w:r>
          </w:p>
        </w:tc>
        <w:tc>
          <w:tcPr>
            <w:tcW w:type="dxa" w:w="4896"/>
            <w:vAlign w:val="center"/>
            <w:tcMar>
              <w:top w:w="120" w:type="dxa"/>
              <w:start w:w="120" w:type="dxa"/>
              <w:bottom w:w="120" w:type="dxa"/>
              <w:end w:w="120" w:type="dxa"/>
            </w:tcMar>
            <w:tcBorders>
              <w:top w:val="single" w:sz="4" w:space="0" w:color="D9E2EC"/>
              <w:left w:val="single" w:sz="4" w:space="0" w:color="D9E2EC"/>
              <w:bottom w:val="single" w:sz="4" w:space="0" w:color="D9E2EC"/>
              <w:right w:val="single" w:sz="4" w:space="0" w:color="D9E2EC"/>
            </w:tcBorders>
          </w:tcPr>
          <w:p>
            <w:pPr>
              <w:spacing w:after="0"/>
            </w:pPr>
            <w:r>
              <w:t>No duplicate loan IDs and no duplicate member IDs were found.</w:t>
            </w:r>
          </w:p>
        </w:tc>
      </w:tr>
      <w:tr>
        <w:tc>
          <w:tcPr>
            <w:tcW w:type="dxa" w:w="4896"/>
            <w:vAlign w:val="center"/>
            <w:tcMar>
              <w:top w:w="120" w:type="dxa"/>
              <w:start w:w="120" w:type="dxa"/>
              <w:bottom w:w="120" w:type="dxa"/>
              <w:end w:w="120" w:type="dxa"/>
            </w:tcMar>
            <w:tcBorders>
              <w:top w:val="single" w:sz="4" w:space="0" w:color="D9E2EC"/>
              <w:left w:val="single" w:sz="4" w:space="0" w:color="D9E2EC"/>
              <w:bottom w:val="single" w:sz="4" w:space="0" w:color="D9E2EC"/>
              <w:right w:val="single" w:sz="4" w:space="0" w:color="D9E2EC"/>
            </w:tcBorders>
          </w:tcPr>
          <w:p>
            <w:pPr>
              <w:spacing w:after="0"/>
            </w:pPr>
            <w:r>
              <w:t>Closed loans</w:t>
            </w:r>
          </w:p>
        </w:tc>
        <w:tc>
          <w:tcPr>
            <w:tcW w:type="dxa" w:w="4896"/>
            <w:vAlign w:val="center"/>
            <w:tcMar>
              <w:top w:w="120" w:type="dxa"/>
              <w:start w:w="120" w:type="dxa"/>
              <w:bottom w:w="120" w:type="dxa"/>
              <w:end w:w="120" w:type="dxa"/>
            </w:tcMar>
            <w:tcBorders>
              <w:top w:val="single" w:sz="4" w:space="0" w:color="D9E2EC"/>
              <w:left w:val="single" w:sz="4" w:space="0" w:color="D9E2EC"/>
              <w:bottom w:val="single" w:sz="4" w:space="0" w:color="D9E2EC"/>
              <w:right w:val="single" w:sz="4" w:space="0" w:color="D9E2EC"/>
            </w:tcBorders>
          </w:tcPr>
          <w:p>
            <w:pPr>
              <w:spacing w:after="0"/>
            </w:pPr>
            <w:r>
              <w:t>Fully Paid, Charged Off, Default</w:t>
            </w:r>
          </w:p>
        </w:tc>
      </w:tr>
      <w:tr>
        <w:tc>
          <w:tcPr>
            <w:tcW w:type="dxa" w:w="4896"/>
            <w:vAlign w:val="center"/>
            <w:tcMar>
              <w:top w:w="120" w:type="dxa"/>
              <w:start w:w="120" w:type="dxa"/>
              <w:bottom w:w="120" w:type="dxa"/>
              <w:end w:w="120" w:type="dxa"/>
            </w:tcMar>
            <w:tcBorders>
              <w:top w:val="single" w:sz="4" w:space="0" w:color="D9E2EC"/>
              <w:left w:val="single" w:sz="4" w:space="0" w:color="D9E2EC"/>
              <w:bottom w:val="single" w:sz="4" w:space="0" w:color="D9E2EC"/>
              <w:right w:val="single" w:sz="4" w:space="0" w:color="D9E2EC"/>
            </w:tcBorders>
          </w:tcPr>
          <w:p>
            <w:pPr>
              <w:spacing w:after="0"/>
            </w:pPr>
            <w:r>
              <w:t>Active loans</w:t>
            </w:r>
          </w:p>
        </w:tc>
        <w:tc>
          <w:tcPr>
            <w:tcW w:type="dxa" w:w="4896"/>
            <w:vAlign w:val="center"/>
            <w:tcMar>
              <w:top w:w="120" w:type="dxa"/>
              <w:start w:w="120" w:type="dxa"/>
              <w:bottom w:w="120" w:type="dxa"/>
              <w:end w:w="120" w:type="dxa"/>
            </w:tcMar>
            <w:tcBorders>
              <w:top w:val="single" w:sz="4" w:space="0" w:color="D9E2EC"/>
              <w:left w:val="single" w:sz="4" w:space="0" w:color="D9E2EC"/>
              <w:bottom w:val="single" w:sz="4" w:space="0" w:color="D9E2EC"/>
              <w:right w:val="single" w:sz="4" w:space="0" w:color="D9E2EC"/>
            </w:tcBorders>
          </w:tcPr>
          <w:p>
            <w:pPr>
              <w:spacing w:after="0"/>
            </w:pPr>
            <w:r>
              <w:t>Current, In Grace Period, Late (16-30 days), Late (31-120 days)</w:t>
            </w:r>
          </w:p>
        </w:tc>
      </w:tr>
    </w:tbl>
    <w:p/>
    <w:tbl>
      <w:tblPr>
        <w:tblW w:type="auto" w:w="0"/>
        <w:jc w:val="left"/>
        <w:tblLayout w:type="fixed"/>
        <w:tblLook w:firstColumn="1" w:firstRow="1" w:lastColumn="0" w:lastRow="0" w:noHBand="0" w:noVBand="1" w:val="04A0"/>
      </w:tblPr>
      <w:tblGrid>
        <w:gridCol w:w="4896"/>
        <w:gridCol w:w="4896"/>
      </w:tblGrid>
      <w:tr>
        <w:tc>
          <w:tcPr>
            <w:tcW w:type="dxa" w:w="2520"/>
            <w:tcMar>
              <w:top w:w="120" w:type="dxa"/>
              <w:start w:w="120" w:type="dxa"/>
              <w:bottom w:w="120" w:type="dxa"/>
              <w:end w:w="120" w:type="dxa"/>
            </w:tcMar>
            <w:tcBorders>
              <w:top w:val="single" w:sz="4" w:space="0" w:color="D9E2EC"/>
              <w:left w:val="single" w:sz="4" w:space="0" w:color="D9E2EC"/>
              <w:bottom w:val="single" w:sz="4" w:space="0" w:color="D9E2EC"/>
              <w:right w:val="single" w:sz="4" w:space="0" w:color="D9E2EC"/>
            </w:tcBorders>
            <w:shd w:fill="E7F5EE"/>
            <w:vAlign w:val="center"/>
          </w:tcPr>
          <w:p>
            <w:pPr>
              <w:spacing w:after="0"/>
            </w:pPr>
            <w:r>
              <w:rPr>
                <w:b/>
              </w:rPr>
              <w:t>Metric</w:t>
            </w:r>
          </w:p>
        </w:tc>
        <w:tc>
          <w:tcPr>
            <w:tcW w:type="dxa" w:w="6840"/>
            <w:tcMar>
              <w:top w:w="120" w:type="dxa"/>
              <w:start w:w="120" w:type="dxa"/>
              <w:bottom w:w="120" w:type="dxa"/>
              <w:end w:w="120" w:type="dxa"/>
            </w:tcMar>
            <w:tcBorders>
              <w:top w:val="single" w:sz="4" w:space="0" w:color="D9E2EC"/>
              <w:left w:val="single" w:sz="4" w:space="0" w:color="D9E2EC"/>
              <w:bottom w:val="single" w:sz="4" w:space="0" w:color="D9E2EC"/>
              <w:right w:val="single" w:sz="4" w:space="0" w:color="D9E2EC"/>
            </w:tcBorders>
            <w:shd w:fill="E7F5EE"/>
            <w:vAlign w:val="center"/>
          </w:tcPr>
          <w:p>
            <w:pPr>
              <w:spacing w:after="0"/>
            </w:pPr>
            <w:r>
              <w:rPr>
                <w:b/>
              </w:rPr>
              <w:t>Meaning</w:t>
            </w:r>
          </w:p>
        </w:tc>
      </w:tr>
      <w:tr>
        <w:tc>
          <w:tcPr>
            <w:tcW w:type="dxa" w:w="4896"/>
            <w:vAlign w:val="center"/>
            <w:tcMar>
              <w:top w:w="120" w:type="dxa"/>
              <w:start w:w="120" w:type="dxa"/>
              <w:bottom w:w="120" w:type="dxa"/>
              <w:end w:w="120" w:type="dxa"/>
            </w:tcMar>
            <w:tcBorders>
              <w:top w:val="single" w:sz="4" w:space="0" w:color="D9E2EC"/>
              <w:left w:val="single" w:sz="4" w:space="0" w:color="D9E2EC"/>
              <w:bottom w:val="single" w:sz="4" w:space="0" w:color="D9E2EC"/>
              <w:right w:val="single" w:sz="4" w:space="0" w:color="D9E2EC"/>
            </w:tcBorders>
          </w:tcPr>
          <w:p>
            <w:pPr>
              <w:spacing w:after="0"/>
            </w:pPr>
            <w:r>
              <w:t>Loan Repayment Rate</w:t>
            </w:r>
          </w:p>
        </w:tc>
        <w:tc>
          <w:tcPr>
            <w:tcW w:type="dxa" w:w="4896"/>
            <w:vAlign w:val="center"/>
            <w:tcMar>
              <w:top w:w="120" w:type="dxa"/>
              <w:start w:w="120" w:type="dxa"/>
              <w:bottom w:w="120" w:type="dxa"/>
              <w:end w:w="120" w:type="dxa"/>
            </w:tcMar>
            <w:tcBorders>
              <w:top w:val="single" w:sz="4" w:space="0" w:color="D9E2EC"/>
              <w:left w:val="single" w:sz="4" w:space="0" w:color="D9E2EC"/>
              <w:bottom w:val="single" w:sz="4" w:space="0" w:color="D9E2EC"/>
              <w:right w:val="single" w:sz="4" w:space="0" w:color="D9E2EC"/>
            </w:tcBorders>
          </w:tcPr>
          <w:p>
            <w:pPr>
              <w:spacing w:after="0"/>
            </w:pPr>
            <w:r>
              <w:t>Total amount repaid divided by total funded amount. LRR can be above 100% because repayments include interest and fees in addition to principal.</w:t>
            </w:r>
          </w:p>
        </w:tc>
      </w:tr>
      <w:tr>
        <w:tc>
          <w:tcPr>
            <w:tcW w:type="dxa" w:w="4896"/>
            <w:vAlign w:val="center"/>
            <w:tcMar>
              <w:top w:w="120" w:type="dxa"/>
              <w:start w:w="120" w:type="dxa"/>
              <w:bottom w:w="120" w:type="dxa"/>
              <w:end w:w="120" w:type="dxa"/>
            </w:tcMar>
            <w:tcBorders>
              <w:top w:val="single" w:sz="4" w:space="0" w:color="D9E2EC"/>
              <w:left w:val="single" w:sz="4" w:space="0" w:color="D9E2EC"/>
              <w:bottom w:val="single" w:sz="4" w:space="0" w:color="D9E2EC"/>
              <w:right w:val="single" w:sz="4" w:space="0" w:color="D9E2EC"/>
            </w:tcBorders>
          </w:tcPr>
          <w:p>
            <w:pPr>
              <w:spacing w:after="0"/>
            </w:pPr>
            <w:r>
              <w:t>Default Rate</w:t>
            </w:r>
          </w:p>
        </w:tc>
        <w:tc>
          <w:tcPr>
            <w:tcW w:type="dxa" w:w="4896"/>
            <w:vAlign w:val="center"/>
            <w:tcMar>
              <w:top w:w="120" w:type="dxa"/>
              <w:start w:w="120" w:type="dxa"/>
              <w:bottom w:w="120" w:type="dxa"/>
              <w:end w:w="120" w:type="dxa"/>
            </w:tcMar>
            <w:tcBorders>
              <w:top w:val="single" w:sz="4" w:space="0" w:color="D9E2EC"/>
              <w:left w:val="single" w:sz="4" w:space="0" w:color="D9E2EC"/>
              <w:bottom w:val="single" w:sz="4" w:space="0" w:color="D9E2EC"/>
              <w:right w:val="single" w:sz="4" w:space="0" w:color="D9E2EC"/>
            </w:tcBorders>
          </w:tcPr>
          <w:p>
            <w:pPr>
              <w:spacing w:after="0"/>
            </w:pPr>
            <w:r>
              <w:t>Charged-off loans divided by total loans.</w:t>
            </w:r>
          </w:p>
        </w:tc>
      </w:tr>
      <w:tr>
        <w:tc>
          <w:tcPr>
            <w:tcW w:type="dxa" w:w="4896"/>
            <w:vAlign w:val="center"/>
            <w:tcMar>
              <w:top w:w="120" w:type="dxa"/>
              <w:start w:w="120" w:type="dxa"/>
              <w:bottom w:w="120" w:type="dxa"/>
              <w:end w:w="120" w:type="dxa"/>
            </w:tcMar>
            <w:tcBorders>
              <w:top w:val="single" w:sz="4" w:space="0" w:color="D9E2EC"/>
              <w:left w:val="single" w:sz="4" w:space="0" w:color="D9E2EC"/>
              <w:bottom w:val="single" w:sz="4" w:space="0" w:color="D9E2EC"/>
              <w:right w:val="single" w:sz="4" w:space="0" w:color="D9E2EC"/>
            </w:tcBorders>
          </w:tcPr>
          <w:p>
            <w:pPr>
              <w:spacing w:after="0"/>
            </w:pPr>
            <w:r>
              <w:t>Active Delinquency Rate</w:t>
            </w:r>
          </w:p>
        </w:tc>
        <w:tc>
          <w:tcPr>
            <w:tcW w:type="dxa" w:w="4896"/>
            <w:vAlign w:val="center"/>
            <w:tcMar>
              <w:top w:w="120" w:type="dxa"/>
              <w:start w:w="120" w:type="dxa"/>
              <w:bottom w:w="120" w:type="dxa"/>
              <w:end w:w="120" w:type="dxa"/>
            </w:tcMar>
            <w:tcBorders>
              <w:top w:val="single" w:sz="4" w:space="0" w:color="D9E2EC"/>
              <w:left w:val="single" w:sz="4" w:space="0" w:color="D9E2EC"/>
              <w:bottom w:val="single" w:sz="4" w:space="0" w:color="D9E2EC"/>
              <w:right w:val="single" w:sz="4" w:space="0" w:color="D9E2EC"/>
            </w:tcBorders>
          </w:tcPr>
          <w:p>
            <w:pPr>
              <w:spacing w:after="0"/>
            </w:pPr>
            <w:r>
              <w:t>Active loans in grace or late status divided by active loans.</w:t>
            </w:r>
          </w:p>
        </w:tc>
      </w:tr>
      <w:tr>
        <w:tc>
          <w:tcPr>
            <w:tcW w:type="dxa" w:w="4896"/>
            <w:vAlign w:val="center"/>
            <w:tcMar>
              <w:top w:w="120" w:type="dxa"/>
              <w:start w:w="120" w:type="dxa"/>
              <w:bottom w:w="120" w:type="dxa"/>
              <w:end w:w="120" w:type="dxa"/>
            </w:tcMar>
            <w:tcBorders>
              <w:top w:val="single" w:sz="4" w:space="0" w:color="D9E2EC"/>
              <w:left w:val="single" w:sz="4" w:space="0" w:color="D9E2EC"/>
              <w:bottom w:val="single" w:sz="4" w:space="0" w:color="D9E2EC"/>
              <w:right w:val="single" w:sz="4" w:space="0" w:color="D9E2EC"/>
            </w:tcBorders>
          </w:tcPr>
          <w:p>
            <w:pPr>
              <w:spacing w:after="0"/>
            </w:pPr>
            <w:r>
              <w:t>At-Risk Outstanding</w:t>
            </w:r>
          </w:p>
        </w:tc>
        <w:tc>
          <w:tcPr>
            <w:tcW w:type="dxa" w:w="4896"/>
            <w:vAlign w:val="center"/>
            <w:tcMar>
              <w:top w:w="120" w:type="dxa"/>
              <w:start w:w="120" w:type="dxa"/>
              <w:bottom w:w="120" w:type="dxa"/>
              <w:end w:w="120" w:type="dxa"/>
            </w:tcMar>
            <w:tcBorders>
              <w:top w:val="single" w:sz="4" w:space="0" w:color="D9E2EC"/>
              <w:left w:val="single" w:sz="4" w:space="0" w:color="D9E2EC"/>
              <w:bottom w:val="single" w:sz="4" w:space="0" w:color="D9E2EC"/>
              <w:right w:val="single" w:sz="4" w:space="0" w:color="D9E2EC"/>
            </w:tcBorders>
          </w:tcPr>
          <w:p>
            <w:pPr>
              <w:spacing w:after="0"/>
            </w:pPr>
            <w:r>
              <w:t>Outstanding principal on active delinquent loans.</w:t>
            </w:r>
          </w:p>
        </w:tc>
      </w:tr>
      <w:tr>
        <w:tc>
          <w:tcPr>
            <w:tcW w:type="dxa" w:w="4896"/>
            <w:vAlign w:val="center"/>
            <w:tcMar>
              <w:top w:w="120" w:type="dxa"/>
              <w:start w:w="120" w:type="dxa"/>
              <w:bottom w:w="120" w:type="dxa"/>
              <w:end w:w="120" w:type="dxa"/>
            </w:tcMar>
            <w:tcBorders>
              <w:top w:val="single" w:sz="4" w:space="0" w:color="D9E2EC"/>
              <w:left w:val="single" w:sz="4" w:space="0" w:color="D9E2EC"/>
              <w:bottom w:val="single" w:sz="4" w:space="0" w:color="D9E2EC"/>
              <w:right w:val="single" w:sz="4" w:space="0" w:color="D9E2EC"/>
            </w:tcBorders>
          </w:tcPr>
          <w:p>
            <w:pPr>
              <w:spacing w:after="0"/>
            </w:pPr>
            <w:r>
              <w:t>Practical Recovery Rate</w:t>
            </w:r>
          </w:p>
        </w:tc>
        <w:tc>
          <w:tcPr>
            <w:tcW w:type="dxa" w:w="4896"/>
            <w:vAlign w:val="center"/>
            <w:tcMar>
              <w:top w:w="120" w:type="dxa"/>
              <w:start w:w="120" w:type="dxa"/>
              <w:bottom w:w="120" w:type="dxa"/>
              <w:end w:w="120" w:type="dxa"/>
            </w:tcMar>
            <w:tcBorders>
              <w:top w:val="single" w:sz="4" w:space="0" w:color="D9E2EC"/>
              <w:left w:val="single" w:sz="4" w:space="0" w:color="D9E2EC"/>
              <w:bottom w:val="single" w:sz="4" w:space="0" w:color="D9E2EC"/>
              <w:right w:val="single" w:sz="4" w:space="0" w:color="D9E2EC"/>
            </w:tcBorders>
          </w:tcPr>
          <w:p>
            <w:pPr>
              <w:spacing w:after="0"/>
            </w:pPr>
            <w:r>
              <w:t>Recoveries divided by funded amount for charged-off loans. This is calculated only for charged-off loans because charged-off loans have zero outstanding principal in this dataset.</w:t>
            </w:r>
          </w:p>
        </w:tc>
      </w:tr>
    </w:tbl>
    <w:p/>
    <w:p>
      <w:pPr>
        <w:pStyle w:val="Heading1"/>
      </w:pPr>
      <w:r>
        <w:t>EDA Approach and Hypotheses</w:t>
      </w:r>
    </w:p>
    <w:p>
      <w:pPr>
        <w:pStyle w:val="Heading2"/>
      </w:pPr>
      <w:r>
        <w:t>EDA steps taken</w:t>
      </w:r>
    </w:p>
    <w:p>
      <w:pPr>
        <w:pStyle w:val="ListBullet"/>
        <w:spacing w:after="80"/>
        <w:ind w:left="360" w:hanging="360"/>
      </w:pPr>
      <w:r>
        <w:t>Validated loan count, duplicate IDs, status groups, and the fields needed for repayment, delinquency, exposure, and recovery metrics.</w:t>
      </w:r>
    </w:p>
    <w:p>
      <w:pPr>
        <w:pStyle w:val="ListBullet"/>
        <w:spacing w:after="80"/>
        <w:ind w:left="360" w:hanging="360"/>
      </w:pPr>
      <w:r>
        <w:t>Created closed-loan views for grade, sub-grade, interest rate, DTI, income, term, public records, purpose, and combined grade-term risk.</w:t>
      </w:r>
    </w:p>
    <w:p>
      <w:pPr>
        <w:pStyle w:val="ListBullet"/>
        <w:spacing w:after="80"/>
        <w:ind w:left="360" w:hanging="360"/>
      </w:pPr>
      <w:r>
        <w:t>Created active-loan views for delinquency, outstanding principal, last-payment recency, revolving utilization, recent inquiries, purpose exposure, and operational risk tiers.</w:t>
      </w:r>
    </w:p>
    <w:p>
      <w:pPr>
        <w:pStyle w:val="Heading2"/>
      </w:pPr>
      <w:r>
        <w:t>Hypotheses used in the report</w:t>
      </w:r>
    </w:p>
    <w:tbl>
      <w:tblPr>
        <w:tblW w:type="auto" w:w="0"/>
        <w:jc w:val="left"/>
        <w:tblLayout w:type="fixed"/>
        <w:tblLook w:firstColumn="1" w:firstRow="1" w:lastColumn="0" w:lastRow="0" w:noHBand="0" w:noVBand="1" w:val="04A0"/>
      </w:tblPr>
      <w:tblGrid>
        <w:gridCol w:w="4896"/>
        <w:gridCol w:w="4896"/>
      </w:tblGrid>
      <w:tr>
        <w:tc>
          <w:tcPr>
            <w:tcW w:type="dxa" w:w="4680"/>
            <w:tcMar>
              <w:top w:w="120" w:type="dxa"/>
              <w:start w:w="120" w:type="dxa"/>
              <w:bottom w:w="120" w:type="dxa"/>
              <w:end w:w="120" w:type="dxa"/>
            </w:tcMar>
            <w:tcBorders>
              <w:top w:val="single" w:sz="4" w:space="0" w:color="D9E2EC"/>
              <w:left w:val="single" w:sz="4" w:space="0" w:color="D9E2EC"/>
              <w:bottom w:val="single" w:sz="4" w:space="0" w:color="D9E2EC"/>
              <w:right w:val="single" w:sz="4" w:space="0" w:color="D9E2EC"/>
            </w:tcBorders>
            <w:shd w:fill="E7F5EE"/>
            <w:vAlign w:val="center"/>
          </w:tcPr>
          <w:p>
            <w:pPr>
              <w:spacing w:after="0"/>
            </w:pPr>
            <w:r>
              <w:rPr>
                <w:b/>
              </w:rPr>
              <w:t>Closed-loan hypotheses</w:t>
            </w:r>
          </w:p>
        </w:tc>
        <w:tc>
          <w:tcPr>
            <w:tcW w:type="dxa" w:w="4680"/>
            <w:tcMar>
              <w:top w:w="120" w:type="dxa"/>
              <w:start w:w="120" w:type="dxa"/>
              <w:bottom w:w="120" w:type="dxa"/>
              <w:end w:w="120" w:type="dxa"/>
            </w:tcMar>
            <w:tcBorders>
              <w:top w:val="single" w:sz="4" w:space="0" w:color="D9E2EC"/>
              <w:left w:val="single" w:sz="4" w:space="0" w:color="D9E2EC"/>
              <w:bottom w:val="single" w:sz="4" w:space="0" w:color="D9E2EC"/>
              <w:right w:val="single" w:sz="4" w:space="0" w:color="D9E2EC"/>
            </w:tcBorders>
            <w:shd w:fill="E7F5EE"/>
            <w:vAlign w:val="center"/>
          </w:tcPr>
          <w:p>
            <w:pPr>
              <w:spacing w:after="0"/>
            </w:pPr>
            <w:r>
              <w:rPr>
                <w:b/>
              </w:rPr>
              <w:t>Active-loan hypotheses</w:t>
            </w:r>
          </w:p>
        </w:tc>
      </w:tr>
      <w:tr>
        <w:tc>
          <w:tcPr>
            <w:tcW w:type="dxa" w:w="4896"/>
            <w:vAlign w:val="center"/>
            <w:tcMar>
              <w:top w:w="120" w:type="dxa"/>
              <w:start w:w="120" w:type="dxa"/>
              <w:bottom w:w="120" w:type="dxa"/>
              <w:end w:w="120" w:type="dxa"/>
            </w:tcMar>
            <w:tcBorders>
              <w:top w:val="single" w:sz="4" w:space="0" w:color="D9E2EC"/>
              <w:left w:val="single" w:sz="4" w:space="0" w:color="D9E2EC"/>
              <w:bottom w:val="single" w:sz="4" w:space="0" w:color="D9E2EC"/>
              <w:right w:val="single" w:sz="4" w:space="0" w:color="D9E2EC"/>
            </w:tcBorders>
          </w:tcPr>
          <w:p>
            <w:pPr>
              <w:spacing w:after="0"/>
            </w:pPr>
            <w:r>
              <w:t>Lower credit grades should show weaker LRR.</w:t>
            </w:r>
          </w:p>
        </w:tc>
        <w:tc>
          <w:tcPr>
            <w:tcW w:type="dxa" w:w="4896"/>
            <w:vAlign w:val="center"/>
            <w:tcMar>
              <w:top w:w="120" w:type="dxa"/>
              <w:start w:w="120" w:type="dxa"/>
              <w:bottom w:w="120" w:type="dxa"/>
              <w:end w:w="120" w:type="dxa"/>
            </w:tcMar>
            <w:tcBorders>
              <w:top w:val="single" w:sz="4" w:space="0" w:color="D9E2EC"/>
              <w:left w:val="single" w:sz="4" w:space="0" w:color="D9E2EC"/>
              <w:bottom w:val="single" w:sz="4" w:space="0" w:color="D9E2EC"/>
              <w:right w:val="single" w:sz="4" w:space="0" w:color="D9E2EC"/>
            </w:tcBorders>
          </w:tcPr>
          <w:p>
            <w:pPr>
              <w:spacing w:after="0"/>
            </w:pPr>
            <w:r>
              <w:t>Lower grades should show higher active delinquency.</w:t>
            </w:r>
          </w:p>
        </w:tc>
      </w:tr>
      <w:tr>
        <w:tc>
          <w:tcPr>
            <w:tcW w:type="dxa" w:w="4896"/>
            <w:vAlign w:val="center"/>
            <w:tcMar>
              <w:top w:w="120" w:type="dxa"/>
              <w:start w:w="120" w:type="dxa"/>
              <w:bottom w:w="120" w:type="dxa"/>
              <w:end w:w="120" w:type="dxa"/>
            </w:tcMar>
            <w:tcBorders>
              <w:top w:val="single" w:sz="4" w:space="0" w:color="D9E2EC"/>
              <w:left w:val="single" w:sz="4" w:space="0" w:color="D9E2EC"/>
              <w:bottom w:val="single" w:sz="4" w:space="0" w:color="D9E2EC"/>
              <w:right w:val="single" w:sz="4" w:space="0" w:color="D9E2EC"/>
            </w:tcBorders>
          </w:tcPr>
          <w:p>
            <w:pPr>
              <w:spacing w:after="0"/>
            </w:pPr>
            <w:r>
              <w:t>Higher interest rates should reduce repayment performance.</w:t>
            </w:r>
          </w:p>
        </w:tc>
        <w:tc>
          <w:tcPr>
            <w:tcW w:type="dxa" w:w="4896"/>
            <w:vAlign w:val="center"/>
            <w:tcMar>
              <w:top w:w="120" w:type="dxa"/>
              <w:start w:w="120" w:type="dxa"/>
              <w:bottom w:w="120" w:type="dxa"/>
              <w:end w:w="120" w:type="dxa"/>
            </w:tcMar>
            <w:tcBorders>
              <w:top w:val="single" w:sz="4" w:space="0" w:color="D9E2EC"/>
              <w:left w:val="single" w:sz="4" w:space="0" w:color="D9E2EC"/>
              <w:bottom w:val="single" w:sz="4" w:space="0" w:color="D9E2EC"/>
              <w:right w:val="single" w:sz="4" w:space="0" w:color="D9E2EC"/>
            </w:tcBorders>
          </w:tcPr>
          <w:p>
            <w:pPr>
              <w:spacing w:after="0"/>
            </w:pPr>
            <w:r>
              <w:t>High revolving utilization should signal repayment pressure.</w:t>
            </w:r>
          </w:p>
        </w:tc>
      </w:tr>
      <w:tr>
        <w:tc>
          <w:tcPr>
            <w:tcW w:type="dxa" w:w="4896"/>
            <w:vAlign w:val="center"/>
            <w:tcMar>
              <w:top w:w="120" w:type="dxa"/>
              <w:start w:w="120" w:type="dxa"/>
              <w:bottom w:w="120" w:type="dxa"/>
              <w:end w:w="120" w:type="dxa"/>
            </w:tcMar>
            <w:tcBorders>
              <w:top w:val="single" w:sz="4" w:space="0" w:color="D9E2EC"/>
              <w:left w:val="single" w:sz="4" w:space="0" w:color="D9E2EC"/>
              <w:bottom w:val="single" w:sz="4" w:space="0" w:color="D9E2EC"/>
              <w:right w:val="single" w:sz="4" w:space="0" w:color="D9E2EC"/>
            </w:tcBorders>
          </w:tcPr>
          <w:p>
            <w:pPr>
              <w:spacing w:after="0"/>
            </w:pPr>
            <w:r>
              <w:t>Low income with high DTI should weaken affordability.</w:t>
            </w:r>
          </w:p>
        </w:tc>
        <w:tc>
          <w:tcPr>
            <w:tcW w:type="dxa" w:w="4896"/>
            <w:vAlign w:val="center"/>
            <w:tcMar>
              <w:top w:w="120" w:type="dxa"/>
              <w:start w:w="120" w:type="dxa"/>
              <w:bottom w:w="120" w:type="dxa"/>
              <w:end w:w="120" w:type="dxa"/>
            </w:tcMar>
            <w:tcBorders>
              <w:top w:val="single" w:sz="4" w:space="0" w:color="D9E2EC"/>
              <w:left w:val="single" w:sz="4" w:space="0" w:color="D9E2EC"/>
              <w:bottom w:val="single" w:sz="4" w:space="0" w:color="D9E2EC"/>
              <w:right w:val="single" w:sz="4" w:space="0" w:color="D9E2EC"/>
            </w:tcBorders>
          </w:tcPr>
          <w:p>
            <w:pPr>
              <w:spacing w:after="0"/>
            </w:pPr>
            <w:r>
              <w:t>Recent credit inquiries should indicate rising credit stress.</w:t>
            </w:r>
          </w:p>
        </w:tc>
      </w:tr>
      <w:tr>
        <w:tc>
          <w:tcPr>
            <w:tcW w:type="dxa" w:w="4896"/>
            <w:vAlign w:val="center"/>
            <w:tcMar>
              <w:top w:w="120" w:type="dxa"/>
              <w:start w:w="120" w:type="dxa"/>
              <w:bottom w:w="120" w:type="dxa"/>
              <w:end w:w="120" w:type="dxa"/>
            </w:tcMar>
            <w:tcBorders>
              <w:top w:val="single" w:sz="4" w:space="0" w:color="D9E2EC"/>
              <w:left w:val="single" w:sz="4" w:space="0" w:color="D9E2EC"/>
              <w:bottom w:val="single" w:sz="4" w:space="0" w:color="D9E2EC"/>
              <w:right w:val="single" w:sz="4" w:space="0" w:color="D9E2EC"/>
            </w:tcBorders>
          </w:tcPr>
          <w:p>
            <w:pPr>
              <w:spacing w:after="0"/>
            </w:pPr>
            <w:r>
              <w:t>Public records and 60-month terms should reduce repayment.</w:t>
            </w:r>
          </w:p>
        </w:tc>
        <w:tc>
          <w:tcPr>
            <w:tcW w:type="dxa" w:w="4896"/>
            <w:vAlign w:val="center"/>
            <w:tcMar>
              <w:top w:w="120" w:type="dxa"/>
              <w:start w:w="120" w:type="dxa"/>
              <w:bottom w:w="120" w:type="dxa"/>
              <w:end w:w="120" w:type="dxa"/>
            </w:tcMar>
            <w:tcBorders>
              <w:top w:val="single" w:sz="4" w:space="0" w:color="D9E2EC"/>
              <w:left w:val="single" w:sz="4" w:space="0" w:color="D9E2EC"/>
              <w:bottom w:val="single" w:sz="4" w:space="0" w:color="D9E2EC"/>
              <w:right w:val="single" w:sz="4" w:space="0" w:color="D9E2EC"/>
            </w:tcBorders>
          </w:tcPr>
          <w:p>
            <w:pPr>
              <w:spacing w:after="0"/>
            </w:pPr>
            <w:r>
              <w:t>Stale last payments should increase recovery urgency.</w:t>
            </w:r>
          </w:p>
        </w:tc>
      </w:tr>
      <w:tr>
        <w:tc>
          <w:tcPr>
            <w:tcW w:type="dxa" w:w="4896"/>
            <w:vAlign w:val="center"/>
            <w:tcMar>
              <w:top w:w="120" w:type="dxa"/>
              <w:start w:w="120" w:type="dxa"/>
              <w:bottom w:w="120" w:type="dxa"/>
              <w:end w:w="120" w:type="dxa"/>
            </w:tcMar>
            <w:tcBorders>
              <w:top w:val="single" w:sz="4" w:space="0" w:color="D9E2EC"/>
              <w:left w:val="single" w:sz="4" w:space="0" w:color="D9E2EC"/>
              <w:bottom w:val="single" w:sz="4" w:space="0" w:color="D9E2EC"/>
              <w:right w:val="single" w:sz="4" w:space="0" w:color="D9E2EC"/>
            </w:tcBorders>
          </w:tcPr>
          <w:p>
            <w:pPr>
              <w:spacing w:after="0"/>
            </w:pPr>
            <w:r>
              <w:t>Purpose, sub-grade, and loan age should add risk detail.</w:t>
            </w:r>
          </w:p>
        </w:tc>
        <w:tc>
          <w:tcPr>
            <w:tcW w:type="dxa" w:w="4896"/>
            <w:vAlign w:val="center"/>
            <w:tcMar>
              <w:top w:w="120" w:type="dxa"/>
              <w:start w:w="120" w:type="dxa"/>
              <w:bottom w:w="120" w:type="dxa"/>
              <w:end w:w="120" w:type="dxa"/>
            </w:tcMar>
            <w:tcBorders>
              <w:top w:val="single" w:sz="4" w:space="0" w:color="D9E2EC"/>
              <w:left w:val="single" w:sz="4" w:space="0" w:color="D9E2EC"/>
              <w:bottom w:val="single" w:sz="4" w:space="0" w:color="D9E2EC"/>
              <w:right w:val="single" w:sz="4" w:space="0" w:color="D9E2EC"/>
            </w:tcBorders>
          </w:tcPr>
          <w:p>
            <w:pPr>
              <w:spacing w:after="0"/>
            </w:pPr>
            <w:r>
              <w:t>Recovery priority should combine delinquency, exposure, recency, utilization, and inquiries.</w:t>
            </w:r>
          </w:p>
        </w:tc>
      </w:tr>
    </w:tbl>
    <w:p/>
    <w:p>
      <w:pPr>
        <w:sectPr>
          <w:pgSz w:w="12240" w:h="15840"/>
          <w:pgMar w:top="1080" w:right="1224" w:bottom="1080" w:left="1224" w:header="720" w:footer="720" w:gutter="0"/>
          <w:cols w:space="720"/>
          <w:docGrid w:linePitch="360"/>
        </w:sectPr>
      </w:pPr>
    </w:p>
    <w:p>
      <w:pPr>
        <w:pStyle w:val="Heading1"/>
      </w:pPr>
      <w:r>
        <w:t>Portfolio Health Snapshot</w:t>
      </w:r>
    </w:p>
    <w:p>
      <w:pPr>
        <w:jc w:val="center"/>
      </w:pPr>
      <w:r>
        <w:drawing>
          <wp:inline xmlns:a="http://schemas.openxmlformats.org/drawingml/2006/main" xmlns:pic="http://schemas.openxmlformats.org/drawingml/2006/picture">
            <wp:extent cx="5852160" cy="622781"/>
            <wp:docPr id="1" name="Picture 1"/>
            <wp:cNvGraphicFramePr>
              <a:graphicFrameLocks noChangeAspect="1"/>
            </wp:cNvGraphicFramePr>
            <a:graphic>
              <a:graphicData uri="http://schemas.openxmlformats.org/drawingml/2006/picture">
                <pic:pic>
                  <pic:nvPicPr>
                    <pic:cNvPr id="0" name="kpi_row.png"/>
                    <pic:cNvPicPr/>
                  </pic:nvPicPr>
                  <pic:blipFill>
                    <a:blip r:embed="rId9"/>
                    <a:stretch>
                      <a:fillRect/>
                    </a:stretch>
                  </pic:blipFill>
                  <pic:spPr>
                    <a:xfrm>
                      <a:off x="0" y="0"/>
                      <a:ext cx="5852160" cy="622781"/>
                    </a:xfrm>
                    <a:prstGeom prst="rect"/>
                  </pic:spPr>
                </pic:pic>
              </a:graphicData>
            </a:graphic>
          </wp:inline>
        </w:drawing>
      </w:r>
    </w:p>
    <w:p>
      <w:pPr>
        <w:jc w:val="center"/>
      </w:pPr>
      <w:r>
        <w:rPr>
          <w:i/>
          <w:color w:val="5B6770"/>
          <w:sz w:val="24"/>
        </w:rPr>
        <w:t>Portfolio KPI row from updated dashboard.</w:t>
      </w:r>
    </w:p>
    <w:p>
      <w:pPr>
        <w:jc w:val="center"/>
      </w:pPr>
      <w:r>
        <w:drawing>
          <wp:inline xmlns:a="http://schemas.openxmlformats.org/drawingml/2006/main" xmlns:pic="http://schemas.openxmlformats.org/drawingml/2006/picture">
            <wp:extent cx="5577840" cy="3398264"/>
            <wp:docPr id="2" name="Picture 2"/>
            <wp:cNvGraphicFramePr>
              <a:graphicFrameLocks noChangeAspect="1"/>
            </wp:cNvGraphicFramePr>
            <a:graphic>
              <a:graphicData uri="http://schemas.openxmlformats.org/drawingml/2006/picture">
                <pic:pic>
                  <pic:nvPicPr>
                    <pic:cNvPr id="0" name="portfolio_mix.png"/>
                    <pic:cNvPicPr/>
                  </pic:nvPicPr>
                  <pic:blipFill>
                    <a:blip r:embed="rId10"/>
                    <a:stretch>
                      <a:fillRect/>
                    </a:stretch>
                  </pic:blipFill>
                  <pic:spPr>
                    <a:xfrm>
                      <a:off x="0" y="0"/>
                      <a:ext cx="5577840" cy="3398264"/>
                    </a:xfrm>
                    <a:prstGeom prst="rect"/>
                  </pic:spPr>
                </pic:pic>
              </a:graphicData>
            </a:graphic>
          </wp:inline>
        </w:drawing>
      </w:r>
    </w:p>
    <w:p>
      <w:pPr>
        <w:jc w:val="center"/>
      </w:pPr>
      <w:r>
        <w:rPr>
          <w:i/>
          <w:color w:val="5B6770"/>
          <w:sz w:val="24"/>
        </w:rPr>
        <w:t>Portfolio mix by loan status.</w:t>
      </w:r>
    </w:p>
    <w:p>
      <w:pPr>
        <w:jc w:val="center"/>
      </w:pPr>
      <w:r>
        <w:drawing>
          <wp:inline xmlns:a="http://schemas.openxmlformats.org/drawingml/2006/main" xmlns:pic="http://schemas.openxmlformats.org/drawingml/2006/picture">
            <wp:extent cx="5577840" cy="3419817"/>
            <wp:docPr id="3" name="Picture 3"/>
            <wp:cNvGraphicFramePr>
              <a:graphicFrameLocks noChangeAspect="1"/>
            </wp:cNvGraphicFramePr>
            <a:graphic>
              <a:graphicData uri="http://schemas.openxmlformats.org/drawingml/2006/picture">
                <pic:pic>
                  <pic:nvPicPr>
                    <pic:cNvPr id="0" name="at_risk_overview.png"/>
                    <pic:cNvPicPr/>
                  </pic:nvPicPr>
                  <pic:blipFill>
                    <a:blip r:embed="rId11"/>
                    <a:stretch>
                      <a:fillRect/>
                    </a:stretch>
                  </pic:blipFill>
                  <pic:spPr>
                    <a:xfrm>
                      <a:off x="0" y="0"/>
                      <a:ext cx="5577840" cy="3419817"/>
                    </a:xfrm>
                    <a:prstGeom prst="rect"/>
                  </pic:spPr>
                </pic:pic>
              </a:graphicData>
            </a:graphic>
          </wp:inline>
        </w:drawing>
      </w:r>
    </w:p>
    <w:p>
      <w:pPr>
        <w:jc w:val="center"/>
      </w:pPr>
      <w:r>
        <w:rPr>
          <w:i/>
          <w:color w:val="5B6770"/>
          <w:sz w:val="24"/>
        </w:rPr>
        <w:t>At-risk exposure by grade.</w:t>
      </w:r>
    </w:p>
    <w:p>
      <w:r>
        <w:rPr>
          <w:b/>
        </w:rPr>
        <w:t xml:space="preserve">Insight - portfolio health: </w:t>
      </w:r>
      <w:r>
        <w:t>The portfolio has 887,379 loans and completed-loan LRR of 100.3%. The default rate is 5.08%, recovery rate on charged-off loans is 6.1%, and at-risk outstanding principal is concentrated in grades C, D, and E.</w:t>
      </w:r>
    </w:p>
    <w:p>
      <w:pPr>
        <w:sectPr>
          <w:pgSz w:w="12240" w:h="15840"/>
          <w:pgMar w:top="1080" w:right="1224" w:bottom="1080" w:left="1224" w:header="720" w:footer="720" w:gutter="0"/>
          <w:cols w:space="720"/>
          <w:docGrid w:linePitch="360"/>
        </w:sectPr>
      </w:pPr>
    </w:p>
    <w:p>
      <w:pPr>
        <w:pStyle w:val="Heading1"/>
      </w:pPr>
      <w:r>
        <w:t>Closed Loan Drivers</w:t>
      </w:r>
    </w:p>
    <w:p>
      <w:pPr>
        <w:jc w:val="center"/>
      </w:pPr>
      <w:r>
        <w:drawing>
          <wp:inline xmlns:a="http://schemas.openxmlformats.org/drawingml/2006/main" xmlns:pic="http://schemas.openxmlformats.org/drawingml/2006/picture">
            <wp:extent cx="5852160" cy="2581136"/>
            <wp:docPr id="4" name="Picture 4"/>
            <wp:cNvGraphicFramePr>
              <a:graphicFrameLocks noChangeAspect="1"/>
            </wp:cNvGraphicFramePr>
            <a:graphic>
              <a:graphicData uri="http://schemas.openxmlformats.org/drawingml/2006/picture">
                <pic:pic>
                  <pic:nvPicPr>
                    <pic:cNvPr id="0" name="closed_grade.png"/>
                    <pic:cNvPicPr/>
                  </pic:nvPicPr>
                  <pic:blipFill>
                    <a:blip r:embed="rId12"/>
                    <a:stretch>
                      <a:fillRect/>
                    </a:stretch>
                  </pic:blipFill>
                  <pic:spPr>
                    <a:xfrm>
                      <a:off x="0" y="0"/>
                      <a:ext cx="5852160" cy="2581136"/>
                    </a:xfrm>
                    <a:prstGeom prst="rect"/>
                  </pic:spPr>
                </pic:pic>
              </a:graphicData>
            </a:graphic>
          </wp:inline>
        </w:drawing>
      </w:r>
    </w:p>
    <w:p>
      <w:pPr>
        <w:jc w:val="center"/>
      </w:pPr>
      <w:r>
        <w:rPr>
          <w:i/>
          <w:color w:val="5B6770"/>
          <w:sz w:val="24"/>
        </w:rPr>
        <w:t>Repayment rate declines by lower grade.</w:t>
      </w:r>
    </w:p>
    <w:p>
      <w:r>
        <w:rPr>
          <w:b/>
        </w:rPr>
        <w:t xml:space="preserve">Insight - hypothesis assumed: </w:t>
      </w:r>
      <w:r>
        <w:t>Lower grades should have lower repayment rates because grade captures borrower credit quality. Result: A and B loans are above 104% LRR, while G falls to 89.5%, so grade remains the clearest historical repayment signal.</w:t>
      </w:r>
    </w:p>
    <w:p>
      <w:pPr>
        <w:jc w:val="center"/>
      </w:pPr>
      <w:r>
        <w:drawing>
          <wp:inline xmlns:a="http://schemas.openxmlformats.org/drawingml/2006/main" xmlns:pic="http://schemas.openxmlformats.org/drawingml/2006/picture">
            <wp:extent cx="5852160" cy="2385972"/>
            <wp:docPr id="5" name="Picture 5"/>
            <wp:cNvGraphicFramePr>
              <a:graphicFrameLocks noChangeAspect="1"/>
            </wp:cNvGraphicFramePr>
            <a:graphic>
              <a:graphicData uri="http://schemas.openxmlformats.org/drawingml/2006/picture">
                <pic:pic>
                  <pic:nvPicPr>
                    <pic:cNvPr id="0" name="closed_interest.png"/>
                    <pic:cNvPicPr/>
                  </pic:nvPicPr>
                  <pic:blipFill>
                    <a:blip r:embed="rId13"/>
                    <a:stretch>
                      <a:fillRect/>
                    </a:stretch>
                  </pic:blipFill>
                  <pic:spPr>
                    <a:xfrm>
                      <a:off x="0" y="0"/>
                      <a:ext cx="5852160" cy="2385972"/>
                    </a:xfrm>
                    <a:prstGeom prst="rect"/>
                  </pic:spPr>
                </pic:pic>
              </a:graphicData>
            </a:graphic>
          </wp:inline>
        </w:drawing>
      </w:r>
    </w:p>
    <w:p>
      <w:pPr>
        <w:jc w:val="center"/>
      </w:pPr>
      <w:r>
        <w:rPr>
          <w:i/>
          <w:color w:val="5B6770"/>
          <w:sz w:val="24"/>
        </w:rPr>
        <w:t>Higher interest loans have lower LRR.</w:t>
      </w:r>
    </w:p>
    <w:p>
      <w:r>
        <w:rPr>
          <w:b/>
        </w:rPr>
        <w:t xml:space="preserve">Insight - hypothesis assumed: </w:t>
      </w:r>
      <w:r>
        <w:t>Higher interest should indicate greater borrower risk and repayment burden. Result: loans below 10% interest have 103.7% LRR, while the 25-30% band drops to 82.0%; higher pricing alone is not enough to offset high-risk lending.</w:t>
      </w:r>
    </w:p>
    <w:p>
      <w:pPr>
        <w:jc w:val="center"/>
      </w:pPr>
      <w:r>
        <w:drawing>
          <wp:inline xmlns:a="http://schemas.openxmlformats.org/drawingml/2006/main" xmlns:pic="http://schemas.openxmlformats.org/drawingml/2006/picture">
            <wp:extent cx="5852160" cy="2402716"/>
            <wp:docPr id="6" name="Picture 6"/>
            <wp:cNvGraphicFramePr>
              <a:graphicFrameLocks noChangeAspect="1"/>
            </wp:cNvGraphicFramePr>
            <a:graphic>
              <a:graphicData uri="http://schemas.openxmlformats.org/drawingml/2006/picture">
                <pic:pic>
                  <pic:nvPicPr>
                    <pic:cNvPr id="0" name="closed_public_records.png"/>
                    <pic:cNvPicPr/>
                  </pic:nvPicPr>
                  <pic:blipFill>
                    <a:blip r:embed="rId14"/>
                    <a:stretch>
                      <a:fillRect/>
                    </a:stretch>
                  </pic:blipFill>
                  <pic:spPr>
                    <a:xfrm>
                      <a:off x="0" y="0"/>
                      <a:ext cx="5852160" cy="2402716"/>
                    </a:xfrm>
                    <a:prstGeom prst="rect"/>
                  </pic:spPr>
                </pic:pic>
              </a:graphicData>
            </a:graphic>
          </wp:inline>
        </w:drawing>
      </w:r>
    </w:p>
    <w:p>
      <w:pPr>
        <w:jc w:val="center"/>
      </w:pPr>
      <w:r>
        <w:rPr>
          <w:i/>
          <w:color w:val="5B6770"/>
          <w:sz w:val="24"/>
        </w:rPr>
        <w:t>Public records reduce repayment.</w:t>
      </w:r>
    </w:p>
    <w:p>
      <w:r>
        <w:rPr>
          <w:b/>
        </w:rPr>
        <w:t xml:space="preserve">Insight - hypothesis assumed: </w:t>
      </w:r>
      <w:r>
        <w:t>Borrowers with public records should repay worse because prior credit events indicate financial stress. Result: LRR declines from 100.7% for borrowers with no public record to about 94.4%-94.8% once records appear.</w:t>
      </w:r>
    </w:p>
    <w:p>
      <w:pPr>
        <w:jc w:val="center"/>
      </w:pPr>
      <w:r>
        <w:drawing>
          <wp:inline xmlns:a="http://schemas.openxmlformats.org/drawingml/2006/main" xmlns:pic="http://schemas.openxmlformats.org/drawingml/2006/picture">
            <wp:extent cx="5852160" cy="2581136"/>
            <wp:docPr id="7" name="Picture 7"/>
            <wp:cNvGraphicFramePr>
              <a:graphicFrameLocks noChangeAspect="1"/>
            </wp:cNvGraphicFramePr>
            <a:graphic>
              <a:graphicData uri="http://schemas.openxmlformats.org/drawingml/2006/picture">
                <pic:pic>
                  <pic:nvPicPr>
                    <pic:cNvPr id="0" name="closed_income_dti.png"/>
                    <pic:cNvPicPr/>
                  </pic:nvPicPr>
                  <pic:blipFill>
                    <a:blip r:embed="rId15"/>
                    <a:stretch>
                      <a:fillRect/>
                    </a:stretch>
                  </pic:blipFill>
                  <pic:spPr>
                    <a:xfrm>
                      <a:off x="0" y="0"/>
                      <a:ext cx="5852160" cy="2581136"/>
                    </a:xfrm>
                    <a:prstGeom prst="rect"/>
                  </pic:spPr>
                </pic:pic>
              </a:graphicData>
            </a:graphic>
          </wp:inline>
        </w:drawing>
      </w:r>
    </w:p>
    <w:p>
      <w:pPr>
        <w:jc w:val="center"/>
      </w:pPr>
      <w:r>
        <w:rPr>
          <w:i/>
          <w:color w:val="5B6770"/>
          <w:sz w:val="24"/>
        </w:rPr>
        <w:t>Low income plus high DTI weakens repayment.</w:t>
      </w:r>
    </w:p>
    <w:p>
      <w:r>
        <w:rPr>
          <w:b/>
        </w:rPr>
        <w:t xml:space="preserve">Insight - hypothesis assumed: </w:t>
      </w:r>
      <w:r>
        <w:t>High DTI should be more dangerous when income is low because less repayment capacity is available. Result: borrowers earning &lt;=25K in the 30-40 DTI band show 86.4% LRR, while stronger-income groups generally repay better at the same DTI level.</w:t>
      </w:r>
    </w:p>
    <w:p>
      <w:pPr>
        <w:sectPr>
          <w:pgSz w:w="12240" w:h="15840"/>
          <w:pgMar w:top="1080" w:right="1224" w:bottom="1080" w:left="1224" w:header="720" w:footer="720" w:gutter="0"/>
          <w:cols w:space="720"/>
          <w:docGrid w:linePitch="360"/>
        </w:sectPr>
      </w:pPr>
    </w:p>
    <w:p>
      <w:pPr>
        <w:pStyle w:val="Heading1"/>
      </w:pPr>
      <w:r>
        <w:t>Closed Loans: Purpose, Term, and Granular EDA</w:t>
      </w:r>
    </w:p>
    <w:p>
      <w:pPr>
        <w:jc w:val="center"/>
      </w:pPr>
      <w:r>
        <w:drawing>
          <wp:inline xmlns:a="http://schemas.openxmlformats.org/drawingml/2006/main" xmlns:pic="http://schemas.openxmlformats.org/drawingml/2006/picture">
            <wp:extent cx="5852160" cy="2402716"/>
            <wp:docPr id="8" name="Picture 8"/>
            <wp:cNvGraphicFramePr>
              <a:graphicFrameLocks noChangeAspect="1"/>
            </wp:cNvGraphicFramePr>
            <a:graphic>
              <a:graphicData uri="http://schemas.openxmlformats.org/drawingml/2006/picture">
                <pic:pic>
                  <pic:nvPicPr>
                    <pic:cNvPr id="0" name="closed_grade_term.png"/>
                    <pic:cNvPicPr/>
                  </pic:nvPicPr>
                  <pic:blipFill>
                    <a:blip r:embed="rId16"/>
                    <a:stretch>
                      <a:fillRect/>
                    </a:stretch>
                  </pic:blipFill>
                  <pic:spPr>
                    <a:xfrm>
                      <a:off x="0" y="0"/>
                      <a:ext cx="5852160" cy="2402716"/>
                    </a:xfrm>
                    <a:prstGeom prst="rect"/>
                  </pic:spPr>
                </pic:pic>
              </a:graphicData>
            </a:graphic>
          </wp:inline>
        </w:drawing>
      </w:r>
    </w:p>
    <w:p>
      <w:pPr>
        <w:jc w:val="center"/>
      </w:pPr>
      <w:r>
        <w:rPr>
          <w:i/>
          <w:color w:val="5B6770"/>
          <w:sz w:val="24"/>
        </w:rPr>
        <w:t>Lower grade plus longer term is weakest.</w:t>
      </w:r>
    </w:p>
    <w:p>
      <w:r>
        <w:rPr>
          <w:b/>
        </w:rPr>
        <w:t xml:space="preserve">Insight - hypothesis assumed: </w:t>
      </w:r>
      <w:r>
        <w:t>Longer terms should weaken repayment when combined with lower credit grades because uncertainty and repayment burden last longer. Result: G-grade 60-month loans show 88.9% LRR, while A-grade 36-month loans show 104.3%.</w:t>
      </w:r>
    </w:p>
    <w:p>
      <w:pPr>
        <w:jc w:val="center"/>
      </w:pPr>
      <w:r>
        <w:drawing>
          <wp:inline xmlns:a="http://schemas.openxmlformats.org/drawingml/2006/main" xmlns:pic="http://schemas.openxmlformats.org/drawingml/2006/picture">
            <wp:extent cx="5577840" cy="2160335"/>
            <wp:docPr id="9" name="Picture 9"/>
            <wp:cNvGraphicFramePr>
              <a:graphicFrameLocks noChangeAspect="1"/>
            </wp:cNvGraphicFramePr>
            <a:graphic>
              <a:graphicData uri="http://schemas.openxmlformats.org/drawingml/2006/picture">
                <pic:pic>
                  <pic:nvPicPr>
                    <pic:cNvPr id="0" name="cell_077_0.png"/>
                    <pic:cNvPicPr/>
                  </pic:nvPicPr>
                  <pic:blipFill>
                    <a:blip r:embed="rId17"/>
                    <a:stretch>
                      <a:fillRect/>
                    </a:stretch>
                  </pic:blipFill>
                  <pic:spPr>
                    <a:xfrm>
                      <a:off x="0" y="0"/>
                      <a:ext cx="5577840" cy="2160335"/>
                    </a:xfrm>
                    <a:prstGeom prst="rect"/>
                  </pic:spPr>
                </pic:pic>
              </a:graphicData>
            </a:graphic>
          </wp:inline>
        </w:drawing>
      </w:r>
    </w:p>
    <w:p>
      <w:pPr>
        <w:jc w:val="center"/>
      </w:pPr>
      <w:r>
        <w:rPr>
          <w:i/>
          <w:color w:val="5B6770"/>
          <w:sz w:val="24"/>
        </w:rPr>
        <w:t>Python EDA: sub-grade charge-off pattern.</w:t>
      </w:r>
    </w:p>
    <w:p>
      <w:r>
        <w:rPr>
          <w:b/>
        </w:rPr>
        <w:t xml:space="preserve">Insight - hypothesis assumed: </w:t>
      </w:r>
      <w:r>
        <w:t>Sub-grade should reveal risk hidden inside broad grades. Result: Python EDA shows charge-off rate generally increases as sub-grade quality declines, so sub-grade refines monitoring beyond broad A to G grades.</w:t>
      </w:r>
    </w:p>
    <w:p>
      <w:pPr>
        <w:jc w:val="center"/>
      </w:pPr>
      <w:r>
        <w:drawing>
          <wp:inline xmlns:a="http://schemas.openxmlformats.org/drawingml/2006/main" xmlns:pic="http://schemas.openxmlformats.org/drawingml/2006/picture">
            <wp:extent cx="5577840" cy="3821552"/>
            <wp:docPr id="10" name="Picture 10"/>
            <wp:cNvGraphicFramePr>
              <a:graphicFrameLocks noChangeAspect="1"/>
            </wp:cNvGraphicFramePr>
            <a:graphic>
              <a:graphicData uri="http://schemas.openxmlformats.org/drawingml/2006/picture">
                <pic:pic>
                  <pic:nvPicPr>
                    <pic:cNvPr id="0" name="cell_082_0.png"/>
                    <pic:cNvPicPr/>
                  </pic:nvPicPr>
                  <pic:blipFill>
                    <a:blip r:embed="rId18"/>
                    <a:stretch>
                      <a:fillRect/>
                    </a:stretch>
                  </pic:blipFill>
                  <pic:spPr>
                    <a:xfrm>
                      <a:off x="0" y="0"/>
                      <a:ext cx="5577840" cy="3821552"/>
                    </a:xfrm>
                    <a:prstGeom prst="rect"/>
                  </pic:spPr>
                </pic:pic>
              </a:graphicData>
            </a:graphic>
          </wp:inline>
        </w:drawing>
      </w:r>
    </w:p>
    <w:p>
      <w:pPr>
        <w:jc w:val="center"/>
      </w:pPr>
      <w:r>
        <w:rPr>
          <w:i/>
          <w:color w:val="5B6770"/>
          <w:sz w:val="24"/>
        </w:rPr>
        <w:t>Python EDA: loan age and charge-off risk.</w:t>
      </w:r>
    </w:p>
    <w:p>
      <w:r>
        <w:rPr>
          <w:b/>
        </w:rPr>
        <w:t xml:space="preserve">Insight - hypothesis assumed: </w:t>
      </w:r>
      <w:r>
        <w:t>Charge-off risk should appear before the loan reaches very late stages. Result: Python EDA shows charge-off risk is highest in early loan-age buckets, especially around 6-12 months.</w:t>
      </w:r>
    </w:p>
    <w:p>
      <w:pPr>
        <w:sectPr>
          <w:pgSz w:w="12240" w:h="15840"/>
          <w:pgMar w:top="1080" w:right="1224" w:bottom="1080" w:left="1224" w:header="720" w:footer="720" w:gutter="0"/>
          <w:cols w:space="720"/>
          <w:docGrid w:linePitch="360"/>
        </w:sectPr>
      </w:pPr>
    </w:p>
    <w:p>
      <w:pPr>
        <w:pStyle w:val="Heading1"/>
      </w:pPr>
      <w:r>
        <w:t>Closed Loan Driver Summary</w:t>
      </w:r>
    </w:p>
    <w:p>
      <w:pPr>
        <w:jc w:val="center"/>
      </w:pPr>
      <w:r>
        <w:drawing>
          <wp:inline xmlns:a="http://schemas.openxmlformats.org/drawingml/2006/main" xmlns:pic="http://schemas.openxmlformats.org/drawingml/2006/picture">
            <wp:extent cx="5852160" cy="3438144"/>
            <wp:docPr id="11" name="Picture 11"/>
            <wp:cNvGraphicFramePr>
              <a:graphicFrameLocks noChangeAspect="1"/>
            </wp:cNvGraphicFramePr>
            <a:graphic>
              <a:graphicData uri="http://schemas.openxmlformats.org/drawingml/2006/picture">
                <pic:pic>
                  <pic:nvPicPr>
                    <pic:cNvPr id="0" name="closed_dashboard.png"/>
                    <pic:cNvPicPr/>
                  </pic:nvPicPr>
                  <pic:blipFill>
                    <a:blip r:embed="rId19"/>
                    <a:stretch>
                      <a:fillRect/>
                    </a:stretch>
                  </pic:blipFill>
                  <pic:spPr>
                    <a:xfrm>
                      <a:off x="0" y="0"/>
                      <a:ext cx="5852160" cy="3438144"/>
                    </a:xfrm>
                    <a:prstGeom prst="rect"/>
                  </pic:spPr>
                </pic:pic>
              </a:graphicData>
            </a:graphic>
          </wp:inline>
        </w:drawing>
      </w:r>
    </w:p>
    <w:p>
      <w:pPr>
        <w:jc w:val="center"/>
      </w:pPr>
      <w:r>
        <w:rPr>
          <w:i/>
          <w:color w:val="5B6770"/>
          <w:sz w:val="24"/>
        </w:rPr>
        <w:t>Updated closed loan repayment driver dashboard.</w:t>
      </w:r>
    </w:p>
    <w:p>
      <w:r>
        <w:rPr>
          <w:b/>
        </w:rPr>
        <w:t xml:space="preserve">Insight - closed loans: </w:t>
      </w:r>
      <w:r>
        <w:t>Weak repayment is concentrated by lower grade, high interest, public records, lower income plus high DTI, and weaker long-term grade combinations. These patterns become the basis for active-loan monitoring.</w:t>
      </w:r>
    </w:p>
    <w:p>
      <w:pPr>
        <w:pStyle w:val="Heading2"/>
      </w:pPr>
      <w:r>
        <w:t>Applying Closed-Loan Learning to Active Loans</w:t>
      </w:r>
    </w:p>
    <w:tbl>
      <w:tblPr>
        <w:tblW w:type="auto" w:w="0"/>
        <w:jc w:val="left"/>
        <w:tblLayout w:type="fixed"/>
        <w:tblLook w:firstColumn="1" w:firstRow="1" w:lastColumn="0" w:lastRow="0" w:noHBand="0" w:noVBand="1" w:val="04A0"/>
      </w:tblPr>
      <w:tblGrid>
        <w:gridCol w:w="4896"/>
        <w:gridCol w:w="4896"/>
      </w:tblGrid>
      <w:tr>
        <w:tc>
          <w:tcPr>
            <w:tcW w:type="dxa" w:w="3816"/>
            <w:tcMar>
              <w:top w:w="120" w:type="dxa"/>
              <w:start w:w="120" w:type="dxa"/>
              <w:bottom w:w="120" w:type="dxa"/>
              <w:end w:w="120" w:type="dxa"/>
            </w:tcMar>
            <w:tcBorders>
              <w:top w:val="single" w:sz="4" w:space="0" w:color="D9E2EC"/>
              <w:left w:val="single" w:sz="4" w:space="0" w:color="D9E2EC"/>
              <w:bottom w:val="single" w:sz="4" w:space="0" w:color="D9E2EC"/>
              <w:right w:val="single" w:sz="4" w:space="0" w:color="D9E2EC"/>
            </w:tcBorders>
            <w:shd w:fill="E7F5EE"/>
            <w:vAlign w:val="center"/>
          </w:tcPr>
          <w:p>
            <w:pPr>
              <w:spacing w:after="0"/>
            </w:pPr>
            <w:r>
              <w:rPr>
                <w:b/>
              </w:rPr>
              <w:t>Closed-loan pattern</w:t>
            </w:r>
          </w:p>
        </w:tc>
        <w:tc>
          <w:tcPr>
            <w:tcW w:type="dxa" w:w="5544"/>
            <w:tcMar>
              <w:top w:w="120" w:type="dxa"/>
              <w:start w:w="120" w:type="dxa"/>
              <w:bottom w:w="120" w:type="dxa"/>
              <w:end w:w="120" w:type="dxa"/>
            </w:tcMar>
            <w:tcBorders>
              <w:top w:val="single" w:sz="4" w:space="0" w:color="D9E2EC"/>
              <w:left w:val="single" w:sz="4" w:space="0" w:color="D9E2EC"/>
              <w:bottom w:val="single" w:sz="4" w:space="0" w:color="D9E2EC"/>
              <w:right w:val="single" w:sz="4" w:space="0" w:color="D9E2EC"/>
            </w:tcBorders>
            <w:shd w:fill="E7F5EE"/>
            <w:vAlign w:val="center"/>
          </w:tcPr>
          <w:p>
            <w:pPr>
              <w:spacing w:after="0"/>
            </w:pPr>
            <w:r>
              <w:rPr>
                <w:b/>
              </w:rPr>
              <w:t>Active-loan use</w:t>
            </w:r>
          </w:p>
        </w:tc>
      </w:tr>
      <w:tr>
        <w:tc>
          <w:tcPr>
            <w:tcW w:type="dxa" w:w="4896"/>
            <w:vAlign w:val="center"/>
            <w:tcMar>
              <w:top w:w="120" w:type="dxa"/>
              <w:start w:w="120" w:type="dxa"/>
              <w:bottom w:w="120" w:type="dxa"/>
              <w:end w:w="120" w:type="dxa"/>
            </w:tcMar>
            <w:tcBorders>
              <w:top w:val="single" w:sz="4" w:space="0" w:color="D9E2EC"/>
              <w:left w:val="single" w:sz="4" w:space="0" w:color="D9E2EC"/>
              <w:bottom w:val="single" w:sz="4" w:space="0" w:color="D9E2EC"/>
              <w:right w:val="single" w:sz="4" w:space="0" w:color="D9E2EC"/>
            </w:tcBorders>
          </w:tcPr>
          <w:p>
            <w:pPr>
              <w:spacing w:after="0"/>
            </w:pPr>
            <w:r>
              <w:t>Lower grades had weaker LRR.</w:t>
            </w:r>
          </w:p>
        </w:tc>
        <w:tc>
          <w:tcPr>
            <w:tcW w:type="dxa" w:w="4896"/>
            <w:vAlign w:val="center"/>
            <w:tcMar>
              <w:top w:w="120" w:type="dxa"/>
              <w:start w:w="120" w:type="dxa"/>
              <w:bottom w:w="120" w:type="dxa"/>
              <w:end w:w="120" w:type="dxa"/>
            </w:tcMar>
            <w:tcBorders>
              <w:top w:val="single" w:sz="4" w:space="0" w:color="D9E2EC"/>
              <w:left w:val="single" w:sz="4" w:space="0" w:color="D9E2EC"/>
              <w:bottom w:val="single" w:sz="4" w:space="0" w:color="D9E2EC"/>
              <w:right w:val="single" w:sz="4" w:space="0" w:color="D9E2EC"/>
            </w:tcBorders>
          </w:tcPr>
          <w:p>
            <w:pPr>
              <w:spacing w:after="0"/>
            </w:pPr>
            <w:r>
              <w:t>Use grade as the first early-warning filter.</w:t>
            </w:r>
          </w:p>
        </w:tc>
      </w:tr>
      <w:tr>
        <w:tc>
          <w:tcPr>
            <w:tcW w:type="dxa" w:w="4896"/>
            <w:vAlign w:val="center"/>
            <w:tcMar>
              <w:top w:w="120" w:type="dxa"/>
              <w:start w:w="120" w:type="dxa"/>
              <w:bottom w:w="120" w:type="dxa"/>
              <w:end w:w="120" w:type="dxa"/>
            </w:tcMar>
            <w:tcBorders>
              <w:top w:val="single" w:sz="4" w:space="0" w:color="D9E2EC"/>
              <w:left w:val="single" w:sz="4" w:space="0" w:color="D9E2EC"/>
              <w:bottom w:val="single" w:sz="4" w:space="0" w:color="D9E2EC"/>
              <w:right w:val="single" w:sz="4" w:space="0" w:color="D9E2EC"/>
            </w:tcBorders>
          </w:tcPr>
          <w:p>
            <w:pPr>
              <w:spacing w:after="0"/>
            </w:pPr>
            <w:r>
              <w:t>High interest bands had weaker LRR.</w:t>
            </w:r>
          </w:p>
        </w:tc>
        <w:tc>
          <w:tcPr>
            <w:tcW w:type="dxa" w:w="4896"/>
            <w:vAlign w:val="center"/>
            <w:tcMar>
              <w:top w:w="120" w:type="dxa"/>
              <w:start w:w="120" w:type="dxa"/>
              <w:bottom w:w="120" w:type="dxa"/>
              <w:end w:w="120" w:type="dxa"/>
            </w:tcMar>
            <w:tcBorders>
              <w:top w:val="single" w:sz="4" w:space="0" w:color="D9E2EC"/>
              <w:left w:val="single" w:sz="4" w:space="0" w:color="D9E2EC"/>
              <w:bottom w:val="single" w:sz="4" w:space="0" w:color="D9E2EC"/>
              <w:right w:val="single" w:sz="4" w:space="0" w:color="D9E2EC"/>
            </w:tcBorders>
          </w:tcPr>
          <w:p>
            <w:pPr>
              <w:spacing w:after="0"/>
            </w:pPr>
            <w:r>
              <w:t>Monitor high-rate active loans earlier and review pricing-risk overlap.</w:t>
            </w:r>
          </w:p>
        </w:tc>
      </w:tr>
      <w:tr>
        <w:tc>
          <w:tcPr>
            <w:tcW w:type="dxa" w:w="4896"/>
            <w:vAlign w:val="center"/>
            <w:tcMar>
              <w:top w:w="120" w:type="dxa"/>
              <w:start w:w="120" w:type="dxa"/>
              <w:bottom w:w="120" w:type="dxa"/>
              <w:end w:w="120" w:type="dxa"/>
            </w:tcMar>
            <w:tcBorders>
              <w:top w:val="single" w:sz="4" w:space="0" w:color="D9E2EC"/>
              <w:left w:val="single" w:sz="4" w:space="0" w:color="D9E2EC"/>
              <w:bottom w:val="single" w:sz="4" w:space="0" w:color="D9E2EC"/>
              <w:right w:val="single" w:sz="4" w:space="0" w:color="D9E2EC"/>
            </w:tcBorders>
          </w:tcPr>
          <w:p>
            <w:pPr>
              <w:spacing w:after="0"/>
            </w:pPr>
            <w:r>
              <w:t>High DTI, public records, and 60-month terms added risk.</w:t>
            </w:r>
          </w:p>
        </w:tc>
        <w:tc>
          <w:tcPr>
            <w:tcW w:type="dxa" w:w="4896"/>
            <w:vAlign w:val="center"/>
            <w:tcMar>
              <w:top w:w="120" w:type="dxa"/>
              <w:start w:w="120" w:type="dxa"/>
              <w:bottom w:w="120" w:type="dxa"/>
              <w:end w:w="120" w:type="dxa"/>
            </w:tcMar>
            <w:tcBorders>
              <w:top w:val="single" w:sz="4" w:space="0" w:color="D9E2EC"/>
              <w:left w:val="single" w:sz="4" w:space="0" w:color="D9E2EC"/>
              <w:bottom w:val="single" w:sz="4" w:space="0" w:color="D9E2EC"/>
              <w:right w:val="single" w:sz="4" w:space="0" w:color="D9E2EC"/>
            </w:tcBorders>
          </w:tcPr>
          <w:p>
            <w:pPr>
              <w:spacing w:after="0"/>
            </w:pPr>
            <w:r>
              <w:t>Flag affordability and credit-history stress before accounts become severely late.</w:t>
            </w:r>
          </w:p>
        </w:tc>
      </w:tr>
      <w:tr>
        <w:tc>
          <w:tcPr>
            <w:tcW w:type="dxa" w:w="4896"/>
            <w:vAlign w:val="center"/>
            <w:tcMar>
              <w:top w:w="120" w:type="dxa"/>
              <w:start w:w="120" w:type="dxa"/>
              <w:bottom w:w="120" w:type="dxa"/>
              <w:end w:w="120" w:type="dxa"/>
            </w:tcMar>
            <w:tcBorders>
              <w:top w:val="single" w:sz="4" w:space="0" w:color="D9E2EC"/>
              <w:left w:val="single" w:sz="4" w:space="0" w:color="D9E2EC"/>
              <w:bottom w:val="single" w:sz="4" w:space="0" w:color="D9E2EC"/>
              <w:right w:val="single" w:sz="4" w:space="0" w:color="D9E2EC"/>
            </w:tcBorders>
          </w:tcPr>
          <w:p>
            <w:pPr>
              <w:spacing w:after="0"/>
            </w:pPr>
            <w:r>
              <w:t>Purpose changed repayment behaviour.</w:t>
            </w:r>
          </w:p>
        </w:tc>
        <w:tc>
          <w:tcPr>
            <w:tcW w:type="dxa" w:w="4896"/>
            <w:vAlign w:val="center"/>
            <w:tcMar>
              <w:top w:w="120" w:type="dxa"/>
              <w:start w:w="120" w:type="dxa"/>
              <w:bottom w:w="120" w:type="dxa"/>
              <w:end w:w="120" w:type="dxa"/>
            </w:tcMar>
            <w:tcBorders>
              <w:top w:val="single" w:sz="4" w:space="0" w:color="D9E2EC"/>
              <w:left w:val="single" w:sz="4" w:space="0" w:color="D9E2EC"/>
              <w:bottom w:val="single" w:sz="4" w:space="0" w:color="D9E2EC"/>
              <w:right w:val="single" w:sz="4" w:space="0" w:color="D9E2EC"/>
            </w:tcBorders>
          </w:tcPr>
          <w:p>
            <w:pPr>
              <w:spacing w:after="0"/>
            </w:pPr>
            <w:r>
              <w:t>Combine purpose risk with outstanding principal before assigning recovery priority.</w:t>
            </w:r>
          </w:p>
        </w:tc>
      </w:tr>
    </w:tbl>
    <w:p/>
    <w:p>
      <w:pPr>
        <w:sectPr>
          <w:pgSz w:w="12240" w:h="15840"/>
          <w:pgMar w:top="1080" w:right="1224" w:bottom="1080" w:left="1224" w:header="720" w:footer="720" w:gutter="0"/>
          <w:cols w:space="720"/>
          <w:docGrid w:linePitch="360"/>
        </w:sectPr>
      </w:pPr>
    </w:p>
    <w:p>
      <w:pPr>
        <w:pStyle w:val="Heading1"/>
      </w:pPr>
      <w:r>
        <w:t>Active Loan Risk and Recovery Priority</w:t>
      </w:r>
    </w:p>
    <w:p>
      <w:pPr>
        <w:jc w:val="center"/>
      </w:pPr>
      <w:r>
        <w:drawing>
          <wp:inline xmlns:a="http://schemas.openxmlformats.org/drawingml/2006/main" xmlns:pic="http://schemas.openxmlformats.org/drawingml/2006/picture">
            <wp:extent cx="5760720" cy="5008579"/>
            <wp:docPr id="12" name="Picture 12"/>
            <wp:cNvGraphicFramePr>
              <a:graphicFrameLocks noChangeAspect="1"/>
            </wp:cNvGraphicFramePr>
            <a:graphic>
              <a:graphicData uri="http://schemas.openxmlformats.org/drawingml/2006/picture">
                <pic:pic>
                  <pic:nvPicPr>
                    <pic:cNvPr id="0" name="active_grade.png"/>
                    <pic:cNvPicPr/>
                  </pic:nvPicPr>
                  <pic:blipFill>
                    <a:blip r:embed="rId20"/>
                    <a:stretch>
                      <a:fillRect/>
                    </a:stretch>
                  </pic:blipFill>
                  <pic:spPr>
                    <a:xfrm>
                      <a:off x="0" y="0"/>
                      <a:ext cx="5760720" cy="5008579"/>
                    </a:xfrm>
                    <a:prstGeom prst="rect"/>
                  </pic:spPr>
                </pic:pic>
              </a:graphicData>
            </a:graphic>
          </wp:inline>
        </w:drawing>
      </w:r>
    </w:p>
    <w:p>
      <w:pPr>
        <w:jc w:val="center"/>
      </w:pPr>
      <w:r>
        <w:rPr>
          <w:i/>
          <w:color w:val="5B6770"/>
          <w:sz w:val="24"/>
        </w:rPr>
        <w:t>Active delinquency rises sharply in lower grades.</w:t>
      </w:r>
    </w:p>
    <w:p>
      <w:r>
        <w:rPr>
          <w:b/>
        </w:rPr>
        <w:t xml:space="preserve">Insight - hypothesis assumed: </w:t>
      </w:r>
      <w:r>
        <w:t>Active delinquency should rise in lower grades if historical repayment risk is already appearing in the live portfolio. Result: delinquency rises from 1.0% in grade A to 11.6% in grade G.</w:t>
      </w:r>
    </w:p>
    <w:p>
      <w:pPr>
        <w:jc w:val="center"/>
      </w:pPr>
      <w:r>
        <w:drawing>
          <wp:inline xmlns:a="http://schemas.openxmlformats.org/drawingml/2006/main" xmlns:pic="http://schemas.openxmlformats.org/drawingml/2006/picture">
            <wp:extent cx="5760720" cy="5375450"/>
            <wp:docPr id="13" name="Picture 13"/>
            <wp:cNvGraphicFramePr>
              <a:graphicFrameLocks noChangeAspect="1"/>
            </wp:cNvGraphicFramePr>
            <a:graphic>
              <a:graphicData uri="http://schemas.openxmlformats.org/drawingml/2006/picture">
                <pic:pic>
                  <pic:nvPicPr>
                    <pic:cNvPr id="0" name="active_utilization.png"/>
                    <pic:cNvPicPr/>
                  </pic:nvPicPr>
                  <pic:blipFill>
                    <a:blip r:embed="rId21"/>
                    <a:stretch>
                      <a:fillRect/>
                    </a:stretch>
                  </pic:blipFill>
                  <pic:spPr>
                    <a:xfrm>
                      <a:off x="0" y="0"/>
                      <a:ext cx="5760720" cy="5375450"/>
                    </a:xfrm>
                    <a:prstGeom prst="rect"/>
                  </pic:spPr>
                </pic:pic>
              </a:graphicData>
            </a:graphic>
          </wp:inline>
        </w:drawing>
      </w:r>
    </w:p>
    <w:p>
      <w:pPr>
        <w:jc w:val="center"/>
      </w:pPr>
      <w:r>
        <w:rPr>
          <w:i/>
          <w:color w:val="5B6770"/>
          <w:sz w:val="24"/>
        </w:rPr>
        <w:t>High revolving utilization raises active risk.</w:t>
      </w:r>
    </w:p>
    <w:p>
      <w:r>
        <w:rPr>
          <w:b/>
        </w:rPr>
        <w:t xml:space="preserve">Insight - hypothesis assumed: </w:t>
      </w:r>
      <w:r>
        <w:t>High revolving utilization should signal repayment pressure because borrowers have less unused credit capacity. Result: active delinquency increases from 2.2% in the 0-30% utilization band to 5.4% in the 100%+ band.</w:t>
      </w:r>
    </w:p>
    <w:p>
      <w:pPr>
        <w:jc w:val="center"/>
      </w:pPr>
      <w:r>
        <w:drawing>
          <wp:inline xmlns:a="http://schemas.openxmlformats.org/drawingml/2006/main" xmlns:pic="http://schemas.openxmlformats.org/drawingml/2006/picture">
            <wp:extent cx="5760720" cy="5008579"/>
            <wp:docPr id="14" name="Picture 14"/>
            <wp:cNvGraphicFramePr>
              <a:graphicFrameLocks noChangeAspect="1"/>
            </wp:cNvGraphicFramePr>
            <a:graphic>
              <a:graphicData uri="http://schemas.openxmlformats.org/drawingml/2006/picture">
                <pic:pic>
                  <pic:nvPicPr>
                    <pic:cNvPr id="0" name="active_recency.png"/>
                    <pic:cNvPicPr/>
                  </pic:nvPicPr>
                  <pic:blipFill>
                    <a:blip r:embed="rId22"/>
                    <a:stretch>
                      <a:fillRect/>
                    </a:stretch>
                  </pic:blipFill>
                  <pic:spPr>
                    <a:xfrm>
                      <a:off x="0" y="0"/>
                      <a:ext cx="5760720" cy="5008579"/>
                    </a:xfrm>
                    <a:prstGeom prst="rect"/>
                  </pic:spPr>
                </pic:pic>
              </a:graphicData>
            </a:graphic>
          </wp:inline>
        </w:drawing>
      </w:r>
    </w:p>
    <w:p>
      <w:pPr>
        <w:jc w:val="center"/>
      </w:pPr>
      <w:r>
        <w:rPr>
          <w:i/>
          <w:color w:val="5B6770"/>
          <w:sz w:val="24"/>
        </w:rPr>
        <w:t>Stale last payments increase recovery priority.</w:t>
      </w:r>
    </w:p>
    <w:p>
      <w:r>
        <w:rPr>
          <w:b/>
        </w:rPr>
        <w:t xml:space="preserve">Insight - hypothesis assumed: </w:t>
      </w:r>
      <w:r>
        <w:t>Stale or weak payment activity should raise recovery priority when the loan is already delinquent. Result: at-risk outstanding is largest in 0-1 month at 12.35 Cr, followed by 2-3 months at 7.90 Cr and no-payment-date loans at 3.31 Cr.</w:t>
      </w:r>
    </w:p>
    <w:p>
      <w:pPr>
        <w:jc w:val="center"/>
      </w:pPr>
      <w:r>
        <w:drawing>
          <wp:inline xmlns:a="http://schemas.openxmlformats.org/drawingml/2006/main" xmlns:pic="http://schemas.openxmlformats.org/drawingml/2006/picture">
            <wp:extent cx="5760720" cy="5375450"/>
            <wp:docPr id="15" name="Picture 15"/>
            <wp:cNvGraphicFramePr>
              <a:graphicFrameLocks noChangeAspect="1"/>
            </wp:cNvGraphicFramePr>
            <a:graphic>
              <a:graphicData uri="http://schemas.openxmlformats.org/drawingml/2006/picture">
                <pic:pic>
                  <pic:nvPicPr>
                    <pic:cNvPr id="0" name="active_inquiries.png"/>
                    <pic:cNvPicPr/>
                  </pic:nvPicPr>
                  <pic:blipFill>
                    <a:blip r:embed="rId23"/>
                    <a:stretch>
                      <a:fillRect/>
                    </a:stretch>
                  </pic:blipFill>
                  <pic:spPr>
                    <a:xfrm>
                      <a:off x="0" y="0"/>
                      <a:ext cx="5760720" cy="5375450"/>
                    </a:xfrm>
                    <a:prstGeom prst="rect"/>
                  </pic:spPr>
                </pic:pic>
              </a:graphicData>
            </a:graphic>
          </wp:inline>
        </w:drawing>
      </w:r>
    </w:p>
    <w:p>
      <w:pPr>
        <w:jc w:val="center"/>
      </w:pPr>
      <w:r>
        <w:rPr>
          <w:i/>
          <w:color w:val="5B6770"/>
          <w:sz w:val="24"/>
        </w:rPr>
        <w:t>Recent credit inquiries weaken active repayment.</w:t>
      </w:r>
    </w:p>
    <w:p>
      <w:r>
        <w:rPr>
          <w:b/>
        </w:rPr>
        <w:t xml:space="preserve">Insight - hypothesis assumed: </w:t>
      </w:r>
      <w:r>
        <w:t>Recent credit inquiries should indicate rising credit demand and stress. Result: delinquency increases from 2.7% for borrowers with no recent inquiries to 6.8% for borrowers with 5+ inquiries.</w:t>
      </w:r>
    </w:p>
    <w:p>
      <w:pPr>
        <w:jc w:val="center"/>
      </w:pPr>
      <w:r>
        <w:drawing>
          <wp:inline xmlns:a="http://schemas.openxmlformats.org/drawingml/2006/main" xmlns:pic="http://schemas.openxmlformats.org/drawingml/2006/picture">
            <wp:extent cx="5760720" cy="5008579"/>
            <wp:docPr id="16" name="Picture 16"/>
            <wp:cNvGraphicFramePr>
              <a:graphicFrameLocks noChangeAspect="1"/>
            </wp:cNvGraphicFramePr>
            <a:graphic>
              <a:graphicData uri="http://schemas.openxmlformats.org/drawingml/2006/picture">
                <pic:pic>
                  <pic:nvPicPr>
                    <pic:cNvPr id="0" name="active_scatter.png"/>
                    <pic:cNvPicPr/>
                  </pic:nvPicPr>
                  <pic:blipFill>
                    <a:blip r:embed="rId24"/>
                    <a:stretch>
                      <a:fillRect/>
                    </a:stretch>
                  </pic:blipFill>
                  <pic:spPr>
                    <a:xfrm>
                      <a:off x="0" y="0"/>
                      <a:ext cx="5760720" cy="5008579"/>
                    </a:xfrm>
                    <a:prstGeom prst="rect"/>
                  </pic:spPr>
                </pic:pic>
              </a:graphicData>
            </a:graphic>
          </wp:inline>
        </w:drawing>
      </w:r>
    </w:p>
    <w:p>
      <w:pPr>
        <w:jc w:val="center"/>
      </w:pPr>
      <w:r>
        <w:rPr>
          <w:i/>
          <w:color w:val="5B6770"/>
          <w:sz w:val="24"/>
        </w:rPr>
        <w:t>Exposure and delinquency prioritize recovery.</w:t>
      </w:r>
    </w:p>
    <w:p>
      <w:pPr>
        <w:sectPr>
          <w:pgSz w:w="12240" w:h="15840"/>
          <w:pgMar w:top="1080" w:right="1224" w:bottom="1080" w:left="1224" w:header="720" w:footer="720" w:gutter="0"/>
          <w:cols w:space="720"/>
          <w:docGrid w:linePitch="360"/>
        </w:sectPr>
      </w:pPr>
    </w:p>
    <w:p>
      <w:pPr>
        <w:pStyle w:val="Heading1"/>
      </w:pPr>
      <w:r>
        <w:t>Active Risk and Recovery Summary</w:t>
      </w:r>
    </w:p>
    <w:p>
      <w:pPr>
        <w:jc w:val="center"/>
      </w:pPr>
      <w:r>
        <w:drawing>
          <wp:inline xmlns:a="http://schemas.openxmlformats.org/drawingml/2006/main" xmlns:pic="http://schemas.openxmlformats.org/drawingml/2006/picture">
            <wp:extent cx="5852160" cy="3245199"/>
            <wp:docPr id="17" name="Picture 17"/>
            <wp:cNvGraphicFramePr>
              <a:graphicFrameLocks noChangeAspect="1"/>
            </wp:cNvGraphicFramePr>
            <a:graphic>
              <a:graphicData uri="http://schemas.openxmlformats.org/drawingml/2006/picture">
                <pic:pic>
                  <pic:nvPicPr>
                    <pic:cNvPr id="0" name="active_dashboard.png"/>
                    <pic:cNvPicPr/>
                  </pic:nvPicPr>
                  <pic:blipFill>
                    <a:blip r:embed="rId25"/>
                    <a:stretch>
                      <a:fillRect/>
                    </a:stretch>
                  </pic:blipFill>
                  <pic:spPr>
                    <a:xfrm>
                      <a:off x="0" y="0"/>
                      <a:ext cx="5852160" cy="3245199"/>
                    </a:xfrm>
                    <a:prstGeom prst="rect"/>
                  </pic:spPr>
                </pic:pic>
              </a:graphicData>
            </a:graphic>
          </wp:inline>
        </w:drawing>
      </w:r>
    </w:p>
    <w:p>
      <w:pPr>
        <w:jc w:val="center"/>
      </w:pPr>
      <w:r>
        <w:rPr>
          <w:i/>
          <w:color w:val="5B6770"/>
          <w:sz w:val="24"/>
        </w:rPr>
        <w:t>Updated active loan risk and recovery prioritization dashboard.</w:t>
      </w:r>
    </w:p>
    <w:p>
      <w:r>
        <w:rPr>
          <w:b/>
        </w:rPr>
        <w:t xml:space="preserve">Insight - active portfolio: </w:t>
      </w:r>
      <w:r>
        <w:t>The active-risk view links delinquency with exposure. Recovery should start where risk and outstanding principal are both high, rather than chasing only the highest delinquency percentage.</w:t>
      </w:r>
    </w:p>
    <w:p>
      <w:pPr>
        <w:pStyle w:val="Heading2"/>
      </w:pPr>
      <w:r>
        <w:t>Priority Order Suggested by the Analysis</w:t>
      </w:r>
    </w:p>
    <w:p>
      <w:pPr>
        <w:pStyle w:val="ListBullet"/>
        <w:spacing w:after="80"/>
        <w:ind w:left="360" w:hanging="360"/>
      </w:pPr>
      <w:r>
        <w:t>First priority: delinquent C, D, and E grade loans with high outstanding principal.</w:t>
      </w:r>
    </w:p>
    <w:p>
      <w:pPr>
        <w:pStyle w:val="ListBullet"/>
        <w:spacing w:after="80"/>
        <w:ind w:left="360" w:hanging="360"/>
      </w:pPr>
      <w:r>
        <w:t>Second priority: loans in the 0-1 month and 2-3 month recency bands before exposure becomes harder to recover.</w:t>
      </w:r>
    </w:p>
    <w:p>
      <w:pPr>
        <w:pStyle w:val="ListBullet"/>
        <w:spacing w:after="80"/>
        <w:ind w:left="360" w:hanging="360"/>
      </w:pPr>
      <w:r>
        <w:t>Third priority: active loans with high revolving utilization, 3+ recent inquiries, or high-risk purpose segments, reviewed after exposure size is considered.</w:t>
      </w:r>
    </w:p>
    <w:p>
      <w:pPr>
        <w:pStyle w:val="Heading1"/>
      </w:pPr>
      <w:r>
        <w:t>Recommendations</w:t>
      </w:r>
    </w:p>
    <w:tbl>
      <w:tblPr>
        <w:tblW w:type="auto" w:w="0"/>
        <w:jc w:val="left"/>
        <w:tblLayout w:type="fixed"/>
        <w:tblLook w:firstColumn="1" w:firstRow="1" w:lastColumn="0" w:lastRow="0" w:noHBand="0" w:noVBand="1" w:val="04A0"/>
      </w:tblPr>
      <w:tblGrid>
        <w:gridCol w:w="4896"/>
        <w:gridCol w:w="4896"/>
      </w:tblGrid>
      <w:tr>
        <w:tc>
          <w:tcPr>
            <w:tcW w:type="dxa" w:w="2952"/>
            <w:tcMar>
              <w:top w:w="120" w:type="dxa"/>
              <w:start w:w="120" w:type="dxa"/>
              <w:bottom w:w="120" w:type="dxa"/>
              <w:end w:w="120" w:type="dxa"/>
            </w:tcMar>
            <w:tcBorders>
              <w:top w:val="single" w:sz="4" w:space="0" w:color="D9E2EC"/>
              <w:left w:val="single" w:sz="4" w:space="0" w:color="D9E2EC"/>
              <w:bottom w:val="single" w:sz="4" w:space="0" w:color="D9E2EC"/>
              <w:right w:val="single" w:sz="4" w:space="0" w:color="D9E2EC"/>
            </w:tcBorders>
            <w:shd w:fill="E7F5EE"/>
            <w:vAlign w:val="center"/>
          </w:tcPr>
          <w:p>
            <w:pPr>
              <w:spacing w:after="0"/>
            </w:pPr>
            <w:r>
              <w:rPr>
                <w:b/>
              </w:rPr>
              <w:t>Recommendation</w:t>
            </w:r>
          </w:p>
        </w:tc>
        <w:tc>
          <w:tcPr>
            <w:tcW w:type="dxa" w:w="6408"/>
            <w:tcMar>
              <w:top w:w="120" w:type="dxa"/>
              <w:start w:w="120" w:type="dxa"/>
              <w:bottom w:w="120" w:type="dxa"/>
              <w:end w:w="120" w:type="dxa"/>
            </w:tcMar>
            <w:tcBorders>
              <w:top w:val="single" w:sz="4" w:space="0" w:color="D9E2EC"/>
              <w:left w:val="single" w:sz="4" w:space="0" w:color="D9E2EC"/>
              <w:bottom w:val="single" w:sz="4" w:space="0" w:color="D9E2EC"/>
              <w:right w:val="single" w:sz="4" w:space="0" w:color="D9E2EC"/>
            </w:tcBorders>
            <w:shd w:fill="E7F5EE"/>
            <w:vAlign w:val="center"/>
          </w:tcPr>
          <w:p>
            <w:pPr>
              <w:spacing w:after="0"/>
            </w:pPr>
            <w:r>
              <w:rPr>
                <w:b/>
              </w:rPr>
              <w:t>Business action</w:t>
            </w:r>
          </w:p>
        </w:tc>
      </w:tr>
      <w:tr>
        <w:tc>
          <w:tcPr>
            <w:tcW w:type="dxa" w:w="4896"/>
            <w:vAlign w:val="center"/>
            <w:tcMar>
              <w:top w:w="120" w:type="dxa"/>
              <w:start w:w="120" w:type="dxa"/>
              <w:bottom w:w="120" w:type="dxa"/>
              <w:end w:w="120" w:type="dxa"/>
            </w:tcMar>
            <w:tcBorders>
              <w:top w:val="single" w:sz="4" w:space="0" w:color="D9E2EC"/>
              <w:left w:val="single" w:sz="4" w:space="0" w:color="D9E2EC"/>
              <w:bottom w:val="single" w:sz="4" w:space="0" w:color="D9E2EC"/>
              <w:right w:val="single" w:sz="4" w:space="0" w:color="D9E2EC"/>
            </w:tcBorders>
          </w:tcPr>
          <w:p>
            <w:pPr>
              <w:spacing w:after="0"/>
            </w:pPr>
            <w:r>
              <w:t>Prioritise active recovery</w:t>
            </w:r>
          </w:p>
        </w:tc>
        <w:tc>
          <w:tcPr>
            <w:tcW w:type="dxa" w:w="4896"/>
            <w:vAlign w:val="center"/>
            <w:tcMar>
              <w:top w:w="120" w:type="dxa"/>
              <w:start w:w="120" w:type="dxa"/>
              <w:bottom w:w="120" w:type="dxa"/>
              <w:end w:w="120" w:type="dxa"/>
            </w:tcMar>
            <w:tcBorders>
              <w:top w:val="single" w:sz="4" w:space="0" w:color="D9E2EC"/>
              <w:left w:val="single" w:sz="4" w:space="0" w:color="D9E2EC"/>
              <w:bottom w:val="single" w:sz="4" w:space="0" w:color="D9E2EC"/>
              <w:right w:val="single" w:sz="4" w:space="0" w:color="D9E2EC"/>
            </w:tcBorders>
          </w:tcPr>
          <w:p>
            <w:pPr>
              <w:spacing w:after="0"/>
            </w:pPr>
            <w:r>
              <w:t>Start with delinquent C, D, and E loans, then rank by outstanding principal. These grades hold about 16.7 Cr of at-risk principal combined.</w:t>
            </w:r>
          </w:p>
        </w:tc>
      </w:tr>
      <w:tr>
        <w:tc>
          <w:tcPr>
            <w:tcW w:type="dxa" w:w="4896"/>
            <w:vAlign w:val="center"/>
            <w:tcMar>
              <w:top w:w="120" w:type="dxa"/>
              <w:start w:w="120" w:type="dxa"/>
              <w:bottom w:w="120" w:type="dxa"/>
              <w:end w:w="120" w:type="dxa"/>
            </w:tcMar>
            <w:tcBorders>
              <w:top w:val="single" w:sz="4" w:space="0" w:color="D9E2EC"/>
              <w:left w:val="single" w:sz="4" w:space="0" w:color="D9E2EC"/>
              <w:bottom w:val="single" w:sz="4" w:space="0" w:color="D9E2EC"/>
              <w:right w:val="single" w:sz="4" w:space="0" w:color="D9E2EC"/>
            </w:tcBorders>
          </w:tcPr>
          <w:p>
            <w:pPr>
              <w:spacing w:after="0"/>
            </w:pPr>
            <w:r>
              <w:t>Add payment-recency monitoring</w:t>
            </w:r>
          </w:p>
        </w:tc>
        <w:tc>
          <w:tcPr>
            <w:tcW w:type="dxa" w:w="4896"/>
            <w:vAlign w:val="center"/>
            <w:tcMar>
              <w:top w:w="120" w:type="dxa"/>
              <w:start w:w="120" w:type="dxa"/>
              <w:bottom w:w="120" w:type="dxa"/>
              <w:end w:w="120" w:type="dxa"/>
            </w:tcMar>
            <w:tcBorders>
              <w:top w:val="single" w:sz="4" w:space="0" w:color="D9E2EC"/>
              <w:left w:val="single" w:sz="4" w:space="0" w:color="D9E2EC"/>
              <w:bottom w:val="single" w:sz="4" w:space="0" w:color="D9E2EC"/>
              <w:right w:val="single" w:sz="4" w:space="0" w:color="D9E2EC"/>
            </w:tcBorders>
          </w:tcPr>
          <w:p>
            <w:pPr>
              <w:spacing w:after="0"/>
            </w:pPr>
            <w:r>
              <w:t>Use last payment recency to trigger faster recovery action. The 0-1 month and 2-3 month bands hold 12.35 Cr and 7.90 Cr of at-risk exposure.</w:t>
            </w:r>
          </w:p>
        </w:tc>
      </w:tr>
      <w:tr>
        <w:tc>
          <w:tcPr>
            <w:tcW w:type="dxa" w:w="4896"/>
            <w:vAlign w:val="center"/>
            <w:tcMar>
              <w:top w:w="120" w:type="dxa"/>
              <w:start w:w="120" w:type="dxa"/>
              <w:bottom w:w="120" w:type="dxa"/>
              <w:end w:w="120" w:type="dxa"/>
            </w:tcMar>
            <w:tcBorders>
              <w:top w:val="single" w:sz="4" w:space="0" w:color="D9E2EC"/>
              <w:left w:val="single" w:sz="4" w:space="0" w:color="D9E2EC"/>
              <w:bottom w:val="single" w:sz="4" w:space="0" w:color="D9E2EC"/>
              <w:right w:val="single" w:sz="4" w:space="0" w:color="D9E2EC"/>
            </w:tcBorders>
          </w:tcPr>
          <w:p>
            <w:pPr>
              <w:spacing w:after="0"/>
            </w:pPr>
            <w:r>
              <w:t>Tighten future lending rules</w:t>
            </w:r>
          </w:p>
        </w:tc>
        <w:tc>
          <w:tcPr>
            <w:tcW w:type="dxa" w:w="4896"/>
            <w:vAlign w:val="center"/>
            <w:tcMar>
              <w:top w:w="120" w:type="dxa"/>
              <w:start w:w="120" w:type="dxa"/>
              <w:bottom w:w="120" w:type="dxa"/>
              <w:end w:w="120" w:type="dxa"/>
            </w:tcMar>
            <w:tcBorders>
              <w:top w:val="single" w:sz="4" w:space="0" w:color="D9E2EC"/>
              <w:left w:val="single" w:sz="4" w:space="0" w:color="D9E2EC"/>
              <w:bottom w:val="single" w:sz="4" w:space="0" w:color="D9E2EC"/>
              <w:right w:val="single" w:sz="4" w:space="0" w:color="D9E2EC"/>
            </w:tcBorders>
          </w:tcPr>
          <w:p>
            <w:pPr>
              <w:spacing w:after="0"/>
            </w:pPr>
            <w:r>
              <w:t>Add stricter review when lower grades, high DTI, high interest rates, public records, and 60-month terms overlap. G-grade 60-month loans show 88.9% LRR and the 25-30% interest band shows 82.0% LRR.</w:t>
            </w:r>
          </w:p>
        </w:tc>
      </w:tr>
      <w:tr>
        <w:tc>
          <w:tcPr>
            <w:tcW w:type="dxa" w:w="4896"/>
            <w:vAlign w:val="center"/>
            <w:tcMar>
              <w:top w:w="120" w:type="dxa"/>
              <w:start w:w="120" w:type="dxa"/>
              <w:bottom w:w="120" w:type="dxa"/>
              <w:end w:w="120" w:type="dxa"/>
            </w:tcMar>
            <w:tcBorders>
              <w:top w:val="single" w:sz="4" w:space="0" w:color="D9E2EC"/>
              <w:left w:val="single" w:sz="4" w:space="0" w:color="D9E2EC"/>
              <w:bottom w:val="single" w:sz="4" w:space="0" w:color="D9E2EC"/>
              <w:right w:val="single" w:sz="4" w:space="0" w:color="D9E2EC"/>
            </w:tcBorders>
          </w:tcPr>
          <w:p>
            <w:pPr>
              <w:spacing w:after="0"/>
            </w:pPr>
            <w:r>
              <w:t>Strengthen affordability checks</w:t>
            </w:r>
          </w:p>
        </w:tc>
        <w:tc>
          <w:tcPr>
            <w:tcW w:type="dxa" w:w="4896"/>
            <w:vAlign w:val="center"/>
            <w:tcMar>
              <w:top w:w="120" w:type="dxa"/>
              <w:start w:w="120" w:type="dxa"/>
              <w:bottom w:w="120" w:type="dxa"/>
              <w:end w:w="120" w:type="dxa"/>
            </w:tcMar>
            <w:tcBorders>
              <w:top w:val="single" w:sz="4" w:space="0" w:color="D9E2EC"/>
              <w:left w:val="single" w:sz="4" w:space="0" w:color="D9E2EC"/>
              <w:bottom w:val="single" w:sz="4" w:space="0" w:color="D9E2EC"/>
              <w:right w:val="single" w:sz="4" w:space="0" w:color="D9E2EC"/>
            </w:tcBorders>
          </w:tcPr>
          <w:p>
            <w:pPr>
              <w:spacing w:after="0"/>
            </w:pPr>
            <w:r>
              <w:t>Assess income with DTI, revolving utilization, and recent inquiries. Active delinquency reaches 5.4% at 100%+ utilization and 6.8% for borrowers with 5+ recent inquiries.</w:t>
            </w:r>
          </w:p>
        </w:tc>
      </w:tr>
      <w:tr>
        <w:tc>
          <w:tcPr>
            <w:tcW w:type="dxa" w:w="4896"/>
            <w:vAlign w:val="center"/>
            <w:tcMar>
              <w:top w:w="120" w:type="dxa"/>
              <w:start w:w="120" w:type="dxa"/>
              <w:bottom w:w="120" w:type="dxa"/>
              <w:end w:w="120" w:type="dxa"/>
            </w:tcMar>
            <w:tcBorders>
              <w:top w:val="single" w:sz="4" w:space="0" w:color="D9E2EC"/>
              <w:left w:val="single" w:sz="4" w:space="0" w:color="D9E2EC"/>
              <w:bottom w:val="single" w:sz="4" w:space="0" w:color="D9E2EC"/>
              <w:right w:val="single" w:sz="4" w:space="0" w:color="D9E2EC"/>
            </w:tcBorders>
          </w:tcPr>
          <w:p>
            <w:pPr>
              <w:spacing w:after="0"/>
            </w:pPr>
            <w:r>
              <w:t>Act earlier in the loan lifecycle</w:t>
            </w:r>
          </w:p>
        </w:tc>
        <w:tc>
          <w:tcPr>
            <w:tcW w:type="dxa" w:w="4896"/>
            <w:vAlign w:val="center"/>
            <w:tcMar>
              <w:top w:w="120" w:type="dxa"/>
              <w:start w:w="120" w:type="dxa"/>
              <w:bottom w:w="120" w:type="dxa"/>
              <w:end w:w="120" w:type="dxa"/>
            </w:tcMar>
            <w:tcBorders>
              <w:top w:val="single" w:sz="4" w:space="0" w:color="D9E2EC"/>
              <w:left w:val="single" w:sz="4" w:space="0" w:color="D9E2EC"/>
              <w:bottom w:val="single" w:sz="4" w:space="0" w:color="D9E2EC"/>
              <w:right w:val="single" w:sz="4" w:space="0" w:color="D9E2EC"/>
            </w:tcBorders>
          </w:tcPr>
          <w:p>
            <w:pPr>
              <w:spacing w:after="0"/>
            </w:pPr>
            <w:r>
              <w:t>Because charge-off risk appears early, intervention should start before loans become severely late.</w:t>
            </w:r>
          </w:p>
        </w:tc>
      </w:tr>
    </w:tbl>
    <w:p/>
    <w:p>
      <w:r>
        <w:rPr>
          <w:b/>
        </w:rPr>
        <w:t>Final conclusion: UCUCI should use closed-loan repayment patterns to improve approval discipline and use active-loan delinquency plus outstanding principal to guide recovery effort. The strongest opportunity is targeted action on combinations where weak repayment and high exposure meet.</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eastAsia="Arial"/>
      <w:color w:val="1F2933"/>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rial" w:hAnsi="Arial" w:eastAsia="Arial"/>
      <w:b/>
      <w:bCs/>
      <w:color w:val="102A43"/>
      <w:sz w:val="34"/>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rial" w:hAnsi="Arial" w:eastAsia="Arial"/>
      <w:b/>
      <w:bCs/>
      <w:color w:val="102A43"/>
      <w:sz w:val="28"/>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rial" w:hAnsi="Arial" w:eastAsia="Arial"/>
      <w:b/>
      <w:bCs/>
      <w:color w:val="102A43"/>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0"/>
      <w:contextualSpacing/>
    </w:pPr>
    <w:rPr>
      <w:rFonts w:asciiTheme="majorHAnsi" w:eastAsiaTheme="majorEastAsia" w:hAnsiTheme="majorHAnsi" w:cstheme="majorBidi" w:ascii="Arial" w:hAnsi="Arial" w:eastAsia="Arial"/>
      <w:b/>
      <w:color w:val="102A43"/>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240"/>
    </w:pPr>
    <w:rPr>
      <w:rFonts w:asciiTheme="majorHAnsi" w:eastAsiaTheme="majorEastAsia" w:hAnsiTheme="majorHAnsi" w:cstheme="majorBidi" w:ascii="Arial" w:hAnsi="Arial" w:eastAsia="Arial"/>
      <w:i/>
      <w:iCs/>
      <w:color w:val="5B677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