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11DC2" w14:textId="680D18B1" w:rsidR="00143850" w:rsidRDefault="00F6001C" w:rsidP="00F6001C">
      <w:pPr>
        <w:jc w:val="center"/>
        <w:rPr>
          <w:rFonts w:asciiTheme="majorHAnsi" w:hAnsiTheme="majorHAnsi"/>
          <w:b/>
          <w:bCs/>
          <w:sz w:val="32"/>
          <w:szCs w:val="32"/>
        </w:rPr>
      </w:pPr>
      <w:r w:rsidRPr="00F6001C">
        <w:rPr>
          <w:rFonts w:asciiTheme="majorHAnsi" w:hAnsiTheme="majorHAnsi"/>
          <w:b/>
          <w:bCs/>
          <w:sz w:val="32"/>
          <w:szCs w:val="32"/>
        </w:rPr>
        <w:t>2.9 My Visualizations Project - Temporal Visualizations</w:t>
      </w:r>
      <w:r>
        <w:rPr>
          <w:rFonts w:asciiTheme="majorHAnsi" w:hAnsiTheme="majorHAnsi"/>
          <w:b/>
          <w:bCs/>
          <w:sz w:val="32"/>
          <w:szCs w:val="32"/>
        </w:rPr>
        <w:br/>
        <w:t>Abhay Singh</w:t>
      </w:r>
      <w:r>
        <w:rPr>
          <w:rFonts w:asciiTheme="majorHAnsi" w:hAnsiTheme="majorHAnsi"/>
          <w:b/>
          <w:bCs/>
          <w:sz w:val="32"/>
          <w:szCs w:val="32"/>
        </w:rPr>
        <w:br/>
        <w:t>Week2</w:t>
      </w:r>
    </w:p>
    <w:p w14:paraId="73B891D9" w14:textId="5590325F" w:rsidR="00A61C90" w:rsidRDefault="00A61C90" w:rsidP="00A61C90">
      <w:pPr>
        <w:rPr>
          <w:rFonts w:asciiTheme="majorHAnsi" w:hAnsiTheme="majorHAnsi"/>
          <w:b/>
          <w:bCs/>
          <w:sz w:val="32"/>
          <w:szCs w:val="32"/>
        </w:rPr>
      </w:pPr>
      <w:r>
        <w:rPr>
          <w:rFonts w:asciiTheme="majorHAnsi" w:hAnsiTheme="majorHAnsi"/>
          <w:b/>
          <w:bCs/>
          <w:sz w:val="32"/>
          <w:szCs w:val="32"/>
        </w:rPr>
        <w:br/>
        <w:t>Fire Incidents (199</w:t>
      </w:r>
      <w:r w:rsidR="00F6001C">
        <w:rPr>
          <w:rFonts w:asciiTheme="majorHAnsi" w:hAnsiTheme="majorHAnsi"/>
          <w:b/>
          <w:bCs/>
          <w:sz w:val="32"/>
          <w:szCs w:val="32"/>
        </w:rPr>
        <w:t>2-2020)</w:t>
      </w:r>
      <w:r w:rsidR="00F6001C">
        <w:rPr>
          <w:rFonts w:asciiTheme="majorHAnsi" w:hAnsiTheme="majorHAnsi"/>
          <w:b/>
          <w:bCs/>
          <w:sz w:val="32"/>
          <w:szCs w:val="32"/>
        </w:rPr>
        <w:br/>
      </w:r>
      <w:r w:rsidR="00F6001C">
        <w:rPr>
          <w:rFonts w:asciiTheme="majorHAnsi" w:hAnsiTheme="majorHAnsi"/>
          <w:b/>
          <w:bCs/>
          <w:noProof/>
          <w:sz w:val="32"/>
          <w:szCs w:val="32"/>
        </w:rPr>
        <w:drawing>
          <wp:inline distT="0" distB="0" distL="0" distR="0" wp14:anchorId="77549872" wp14:editId="170CFE54">
            <wp:extent cx="5943600" cy="2234565"/>
            <wp:effectExtent l="0" t="0" r="0" b="635"/>
            <wp:docPr id="776294105" name="Picture 2"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94105" name="Picture 2" descr="A graph showing the growth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34565"/>
                    </a:xfrm>
                    <a:prstGeom prst="rect">
                      <a:avLst/>
                    </a:prstGeom>
                  </pic:spPr>
                </pic:pic>
              </a:graphicData>
            </a:graphic>
          </wp:inline>
        </w:drawing>
      </w:r>
      <w:r w:rsidR="00F6001C">
        <w:rPr>
          <w:rFonts w:asciiTheme="majorHAnsi" w:hAnsiTheme="majorHAnsi"/>
          <w:b/>
          <w:bCs/>
          <w:sz w:val="32"/>
          <w:szCs w:val="32"/>
        </w:rPr>
        <w:br/>
      </w:r>
      <w:r w:rsidR="00F6001C">
        <w:rPr>
          <w:rFonts w:asciiTheme="majorHAnsi" w:hAnsiTheme="majorHAnsi"/>
          <w:b/>
          <w:bCs/>
          <w:sz w:val="32"/>
          <w:szCs w:val="32"/>
        </w:rPr>
        <w:br/>
        <w:t>Heatmap showing Fire Size by State</w:t>
      </w:r>
      <w:r w:rsidR="00F6001C">
        <w:rPr>
          <w:rFonts w:asciiTheme="majorHAnsi" w:hAnsiTheme="majorHAnsi"/>
          <w:b/>
          <w:bCs/>
          <w:sz w:val="32"/>
          <w:szCs w:val="32"/>
        </w:rPr>
        <w:br/>
      </w:r>
      <w:r w:rsidR="00F6001C">
        <w:rPr>
          <w:rFonts w:asciiTheme="majorHAnsi" w:hAnsiTheme="majorHAnsi"/>
          <w:b/>
          <w:bCs/>
          <w:noProof/>
          <w:sz w:val="32"/>
          <w:szCs w:val="32"/>
        </w:rPr>
        <w:drawing>
          <wp:inline distT="0" distB="0" distL="0" distR="0" wp14:anchorId="37CAE7BE" wp14:editId="597921A8">
            <wp:extent cx="5943600" cy="2216785"/>
            <wp:effectExtent l="0" t="0" r="0" b="5715"/>
            <wp:docPr id="27094470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44700" name="Picture 3"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r>
        <w:rPr>
          <w:rFonts w:asciiTheme="majorHAnsi" w:hAnsiTheme="majorHAnsi"/>
          <w:b/>
          <w:bCs/>
          <w:sz w:val="32"/>
          <w:szCs w:val="32"/>
        </w:rPr>
        <w:br/>
      </w:r>
    </w:p>
    <w:p w14:paraId="30F83CA6" w14:textId="0E6C807C" w:rsidR="00A61C90" w:rsidRPr="00A61C90" w:rsidRDefault="00A61C90" w:rsidP="00A61C90">
      <w:pPr>
        <w:rPr>
          <w:rFonts w:asciiTheme="majorHAnsi" w:hAnsiTheme="majorHAnsi"/>
        </w:rPr>
      </w:pPr>
      <w:r w:rsidRPr="00A61C90">
        <w:rPr>
          <w:rFonts w:asciiTheme="majorHAnsi" w:hAnsiTheme="majorHAnsi"/>
          <w:b/>
          <w:bCs/>
        </w:rPr>
        <w:t>Stakeholder Temporal Needs</w:t>
      </w:r>
    </w:p>
    <w:p w14:paraId="3E3B81E0" w14:textId="77777777" w:rsidR="00A61C90" w:rsidRPr="00A61C90" w:rsidRDefault="00A61C90" w:rsidP="00A61C90">
      <w:pPr>
        <w:numPr>
          <w:ilvl w:val="0"/>
          <w:numId w:val="12"/>
        </w:numPr>
        <w:rPr>
          <w:rFonts w:asciiTheme="majorHAnsi" w:hAnsiTheme="majorHAnsi"/>
        </w:rPr>
      </w:pPr>
      <w:r w:rsidRPr="00A61C90">
        <w:rPr>
          <w:rFonts w:asciiTheme="majorHAnsi" w:hAnsiTheme="majorHAnsi"/>
        </w:rPr>
        <w:t>Firefighters and First Responders:</w:t>
      </w:r>
    </w:p>
    <w:p w14:paraId="0BF2327D" w14:textId="77777777" w:rsidR="00A61C90" w:rsidRPr="00A61C90" w:rsidRDefault="00A61C90" w:rsidP="00A61C90">
      <w:pPr>
        <w:numPr>
          <w:ilvl w:val="1"/>
          <w:numId w:val="12"/>
        </w:numPr>
        <w:rPr>
          <w:rFonts w:asciiTheme="majorHAnsi" w:hAnsiTheme="majorHAnsi"/>
        </w:rPr>
      </w:pPr>
      <w:r w:rsidRPr="00A61C90">
        <w:rPr>
          <w:rFonts w:asciiTheme="majorHAnsi" w:hAnsiTheme="majorHAnsi"/>
        </w:rPr>
        <w:t>Require real-time hourly and daily patterns to deploy resources effectively during fire outbreaks.</w:t>
      </w:r>
    </w:p>
    <w:p w14:paraId="65879D28" w14:textId="77777777" w:rsidR="00A61C90" w:rsidRPr="00A61C90" w:rsidRDefault="00A61C90" w:rsidP="00A61C90">
      <w:pPr>
        <w:numPr>
          <w:ilvl w:val="1"/>
          <w:numId w:val="12"/>
        </w:numPr>
        <w:rPr>
          <w:rFonts w:asciiTheme="majorHAnsi" w:hAnsiTheme="majorHAnsi"/>
        </w:rPr>
      </w:pPr>
      <w:r w:rsidRPr="00A61C90">
        <w:rPr>
          <w:rFonts w:asciiTheme="majorHAnsi" w:hAnsiTheme="majorHAnsi"/>
        </w:rPr>
        <w:lastRenderedPageBreak/>
        <w:t>Seasonal trends help prepare for peak wildfire months (e.g., summer and fall).</w:t>
      </w:r>
    </w:p>
    <w:p w14:paraId="1EA4E6C4" w14:textId="77777777" w:rsidR="00A61C90" w:rsidRPr="00A61C90" w:rsidRDefault="00A61C90" w:rsidP="00A61C90">
      <w:pPr>
        <w:numPr>
          <w:ilvl w:val="0"/>
          <w:numId w:val="12"/>
        </w:numPr>
        <w:rPr>
          <w:rFonts w:asciiTheme="majorHAnsi" w:hAnsiTheme="majorHAnsi"/>
        </w:rPr>
      </w:pPr>
      <w:r w:rsidRPr="00A61C90">
        <w:rPr>
          <w:rFonts w:asciiTheme="majorHAnsi" w:hAnsiTheme="majorHAnsi"/>
        </w:rPr>
        <w:t>Policy Makers and Environmental Agencies:</w:t>
      </w:r>
    </w:p>
    <w:p w14:paraId="3735C1DF" w14:textId="77777777" w:rsidR="00A61C90" w:rsidRPr="00A61C90" w:rsidRDefault="00A61C90" w:rsidP="00A61C90">
      <w:pPr>
        <w:numPr>
          <w:ilvl w:val="1"/>
          <w:numId w:val="12"/>
        </w:numPr>
        <w:rPr>
          <w:rFonts w:asciiTheme="majorHAnsi" w:hAnsiTheme="majorHAnsi"/>
        </w:rPr>
      </w:pPr>
      <w:r w:rsidRPr="00A61C90">
        <w:rPr>
          <w:rFonts w:asciiTheme="majorHAnsi" w:hAnsiTheme="majorHAnsi"/>
        </w:rPr>
        <w:t>Require yearly trends to assess the effectiveness of fire management policies and funding allocation.</w:t>
      </w:r>
    </w:p>
    <w:p w14:paraId="245B6B98" w14:textId="77777777" w:rsidR="00A61C90" w:rsidRPr="00A61C90" w:rsidRDefault="00A61C90" w:rsidP="00A61C90">
      <w:pPr>
        <w:numPr>
          <w:ilvl w:val="1"/>
          <w:numId w:val="12"/>
        </w:numPr>
        <w:rPr>
          <w:rFonts w:asciiTheme="majorHAnsi" w:hAnsiTheme="majorHAnsi"/>
        </w:rPr>
      </w:pPr>
      <w:r w:rsidRPr="00A61C90">
        <w:rPr>
          <w:rFonts w:asciiTheme="majorHAnsi" w:hAnsiTheme="majorHAnsi"/>
        </w:rPr>
        <w:t>Seasonal insights aid in understanding climate impacts and developing long-term mitigation strategies.</w:t>
      </w:r>
    </w:p>
    <w:p w14:paraId="623B690E" w14:textId="7389D63B" w:rsidR="00A61C90" w:rsidRPr="00A61C90" w:rsidRDefault="00A61C90" w:rsidP="00A61C90">
      <w:pPr>
        <w:rPr>
          <w:rFonts w:asciiTheme="majorHAnsi" w:hAnsiTheme="majorHAnsi"/>
        </w:rPr>
      </w:pPr>
      <w:r w:rsidRPr="00A61C90">
        <w:rPr>
          <w:rFonts w:asciiTheme="majorHAnsi" w:hAnsiTheme="majorHAnsi"/>
        </w:rPr>
        <w:t xml:space="preserve">  </w:t>
      </w:r>
      <w:r w:rsidRPr="00A61C90">
        <w:rPr>
          <w:rFonts w:asciiTheme="majorHAnsi" w:hAnsiTheme="majorHAnsi"/>
          <w:b/>
          <w:bCs/>
        </w:rPr>
        <w:t>Interaction with Temporal Data</w:t>
      </w:r>
    </w:p>
    <w:p w14:paraId="1C3A18D4" w14:textId="77777777" w:rsidR="00A61C90" w:rsidRPr="00A61C90" w:rsidRDefault="00A61C90" w:rsidP="00A61C90">
      <w:pPr>
        <w:numPr>
          <w:ilvl w:val="0"/>
          <w:numId w:val="13"/>
        </w:numPr>
        <w:rPr>
          <w:rFonts w:asciiTheme="majorHAnsi" w:hAnsiTheme="majorHAnsi"/>
        </w:rPr>
      </w:pPr>
      <w:r w:rsidRPr="00A61C90">
        <w:rPr>
          <w:rFonts w:asciiTheme="majorHAnsi" w:hAnsiTheme="majorHAnsi"/>
        </w:rPr>
        <w:t>Firefighters and Responders:</w:t>
      </w:r>
    </w:p>
    <w:p w14:paraId="7BD72F37" w14:textId="77777777" w:rsidR="00A61C90" w:rsidRPr="00A61C90" w:rsidRDefault="00A61C90" w:rsidP="00A61C90">
      <w:pPr>
        <w:numPr>
          <w:ilvl w:val="1"/>
          <w:numId w:val="13"/>
        </w:numPr>
        <w:rPr>
          <w:rFonts w:asciiTheme="majorHAnsi" w:hAnsiTheme="majorHAnsi"/>
        </w:rPr>
      </w:pPr>
      <w:r w:rsidRPr="00A61C90">
        <w:rPr>
          <w:rFonts w:asciiTheme="majorHAnsi" w:hAnsiTheme="majorHAnsi"/>
        </w:rPr>
        <w:t>Compare periods with historical data to forecast resource demands and identify anomalies in fire patterns.</w:t>
      </w:r>
    </w:p>
    <w:p w14:paraId="093B45A6" w14:textId="77777777" w:rsidR="00A61C90" w:rsidRPr="00A61C90" w:rsidRDefault="00A61C90" w:rsidP="00A61C90">
      <w:pPr>
        <w:numPr>
          <w:ilvl w:val="0"/>
          <w:numId w:val="13"/>
        </w:numPr>
        <w:rPr>
          <w:rFonts w:asciiTheme="majorHAnsi" w:hAnsiTheme="majorHAnsi"/>
        </w:rPr>
      </w:pPr>
      <w:r w:rsidRPr="00A61C90">
        <w:rPr>
          <w:rFonts w:asciiTheme="majorHAnsi" w:hAnsiTheme="majorHAnsi"/>
        </w:rPr>
        <w:t>Policy Makers and Agencies:</w:t>
      </w:r>
    </w:p>
    <w:p w14:paraId="41EB9DBD" w14:textId="77777777" w:rsidR="00A61C90" w:rsidRPr="00A61C90" w:rsidRDefault="00A61C90" w:rsidP="00A61C90">
      <w:pPr>
        <w:numPr>
          <w:ilvl w:val="1"/>
          <w:numId w:val="13"/>
        </w:numPr>
        <w:rPr>
          <w:rFonts w:asciiTheme="majorHAnsi" w:hAnsiTheme="majorHAnsi"/>
        </w:rPr>
      </w:pPr>
      <w:r w:rsidRPr="00A61C90">
        <w:rPr>
          <w:rFonts w:asciiTheme="majorHAnsi" w:hAnsiTheme="majorHAnsi"/>
        </w:rPr>
        <w:t>Analyze long-term trends, evaluate anomalies, and create forecasts to prevent wildfires.</w:t>
      </w:r>
    </w:p>
    <w:p w14:paraId="070F2A7D" w14:textId="26890B32" w:rsidR="00A61C90" w:rsidRPr="00A61C90" w:rsidRDefault="00A61C90" w:rsidP="00A61C90">
      <w:pPr>
        <w:rPr>
          <w:rFonts w:asciiTheme="majorHAnsi" w:hAnsiTheme="majorHAnsi"/>
        </w:rPr>
      </w:pPr>
      <w:r w:rsidRPr="00A61C90">
        <w:rPr>
          <w:rFonts w:asciiTheme="majorHAnsi" w:hAnsiTheme="majorHAnsi"/>
          <w:b/>
          <w:bCs/>
        </w:rPr>
        <w:t>Relevant Time Scales</w:t>
      </w:r>
    </w:p>
    <w:p w14:paraId="6BDDB42E" w14:textId="77777777" w:rsidR="00A61C90" w:rsidRPr="00A61C90" w:rsidRDefault="00A61C90" w:rsidP="00A61C90">
      <w:pPr>
        <w:numPr>
          <w:ilvl w:val="0"/>
          <w:numId w:val="14"/>
        </w:numPr>
        <w:rPr>
          <w:rFonts w:asciiTheme="majorHAnsi" w:hAnsiTheme="majorHAnsi"/>
        </w:rPr>
      </w:pPr>
      <w:r w:rsidRPr="00A61C90">
        <w:rPr>
          <w:rFonts w:asciiTheme="majorHAnsi" w:hAnsiTheme="majorHAnsi"/>
        </w:rPr>
        <w:t>Hourly/Daily:</w:t>
      </w:r>
    </w:p>
    <w:p w14:paraId="33564073" w14:textId="77777777" w:rsidR="00A61C90" w:rsidRPr="00A61C90" w:rsidRDefault="00A61C90" w:rsidP="00A61C90">
      <w:pPr>
        <w:numPr>
          <w:ilvl w:val="1"/>
          <w:numId w:val="14"/>
        </w:numPr>
        <w:rPr>
          <w:rFonts w:asciiTheme="majorHAnsi" w:hAnsiTheme="majorHAnsi"/>
        </w:rPr>
      </w:pPr>
      <w:r w:rsidRPr="00A61C90">
        <w:rPr>
          <w:rFonts w:asciiTheme="majorHAnsi" w:hAnsiTheme="majorHAnsi"/>
        </w:rPr>
        <w:t>Critical for responders managing active wildfires.</w:t>
      </w:r>
    </w:p>
    <w:p w14:paraId="0EF3394C" w14:textId="77777777" w:rsidR="00A61C90" w:rsidRPr="00A61C90" w:rsidRDefault="00A61C90" w:rsidP="00A61C90">
      <w:pPr>
        <w:numPr>
          <w:ilvl w:val="0"/>
          <w:numId w:val="14"/>
        </w:numPr>
        <w:rPr>
          <w:rFonts w:asciiTheme="majorHAnsi" w:hAnsiTheme="majorHAnsi"/>
        </w:rPr>
      </w:pPr>
      <w:r w:rsidRPr="00A61C90">
        <w:rPr>
          <w:rFonts w:asciiTheme="majorHAnsi" w:hAnsiTheme="majorHAnsi"/>
        </w:rPr>
        <w:t>Seasonal/Yearly:</w:t>
      </w:r>
    </w:p>
    <w:p w14:paraId="23E9D0F5" w14:textId="5F48B0F7" w:rsidR="00A61C90" w:rsidRDefault="00A61C90" w:rsidP="00A61C90">
      <w:pPr>
        <w:numPr>
          <w:ilvl w:val="1"/>
          <w:numId w:val="14"/>
        </w:numPr>
        <w:rPr>
          <w:rFonts w:asciiTheme="majorHAnsi" w:hAnsiTheme="majorHAnsi"/>
        </w:rPr>
      </w:pPr>
      <w:r w:rsidRPr="00A61C90">
        <w:rPr>
          <w:rFonts w:asciiTheme="majorHAnsi" w:hAnsiTheme="majorHAnsi"/>
        </w:rPr>
        <w:t>Relevant for policy makers and environmental researchers to analyze broader patterns and evaluate policy impacts.</w:t>
      </w:r>
      <w:r>
        <w:rPr>
          <w:rFonts w:asciiTheme="majorHAnsi" w:hAnsiTheme="majorHAnsi"/>
        </w:rPr>
        <w:br/>
      </w:r>
    </w:p>
    <w:p w14:paraId="1B80A967" w14:textId="77777777" w:rsidR="00A61C90" w:rsidRPr="00A61C90" w:rsidRDefault="00A61C90" w:rsidP="00A61C90">
      <w:pPr>
        <w:ind w:left="720"/>
        <w:rPr>
          <w:rFonts w:asciiTheme="majorHAnsi" w:hAnsiTheme="majorHAnsi"/>
        </w:rPr>
      </w:pPr>
      <w:r w:rsidRPr="00A61C90">
        <w:rPr>
          <w:rFonts w:asciiTheme="majorHAnsi" w:hAnsiTheme="majorHAnsi"/>
          <w:b/>
          <w:bCs/>
        </w:rPr>
        <w:t>Data Assessment</w:t>
      </w:r>
    </w:p>
    <w:p w14:paraId="31EF90F6" w14:textId="77777777" w:rsidR="00A61C90" w:rsidRPr="00A61C90" w:rsidRDefault="00A61C90" w:rsidP="00A61C90">
      <w:pPr>
        <w:numPr>
          <w:ilvl w:val="0"/>
          <w:numId w:val="15"/>
        </w:numPr>
        <w:rPr>
          <w:rFonts w:asciiTheme="majorHAnsi" w:hAnsiTheme="majorHAnsi"/>
        </w:rPr>
      </w:pPr>
      <w:r w:rsidRPr="00A61C90">
        <w:rPr>
          <w:rFonts w:asciiTheme="majorHAnsi" w:hAnsiTheme="majorHAnsi"/>
        </w:rPr>
        <w:t>Time Representation in Available Data:</w:t>
      </w:r>
    </w:p>
    <w:p w14:paraId="4E98FE37" w14:textId="77777777" w:rsidR="00A61C90" w:rsidRPr="00A61C90" w:rsidRDefault="00A61C90" w:rsidP="00A61C90">
      <w:pPr>
        <w:numPr>
          <w:ilvl w:val="1"/>
          <w:numId w:val="15"/>
        </w:numPr>
        <w:rPr>
          <w:rFonts w:asciiTheme="majorHAnsi" w:hAnsiTheme="majorHAnsi"/>
        </w:rPr>
      </w:pPr>
      <w:r w:rsidRPr="00A61C90">
        <w:rPr>
          <w:rFonts w:asciiTheme="majorHAnsi" w:hAnsiTheme="majorHAnsi"/>
        </w:rPr>
        <w:t>Time series measurements: Yearly fire incidents and burned areas provide a long-term trend analysis.</w:t>
      </w:r>
    </w:p>
    <w:p w14:paraId="5E5D5D71" w14:textId="77777777" w:rsidR="00A61C90" w:rsidRPr="00A61C90" w:rsidRDefault="00A61C90" w:rsidP="00A61C90">
      <w:pPr>
        <w:numPr>
          <w:ilvl w:val="1"/>
          <w:numId w:val="15"/>
        </w:numPr>
        <w:rPr>
          <w:rFonts w:asciiTheme="majorHAnsi" w:hAnsiTheme="majorHAnsi"/>
        </w:rPr>
      </w:pPr>
      <w:r w:rsidRPr="00A61C90">
        <w:rPr>
          <w:rFonts w:asciiTheme="majorHAnsi" w:hAnsiTheme="majorHAnsi"/>
        </w:rPr>
        <w:t>Cumulative values: Total annual fire sizes offer insights into the scale of fire activity over time.</w:t>
      </w:r>
    </w:p>
    <w:p w14:paraId="3ED6B39C" w14:textId="77777777" w:rsidR="00A61C90" w:rsidRPr="00A61C90" w:rsidRDefault="00A61C90" w:rsidP="00A61C90">
      <w:pPr>
        <w:numPr>
          <w:ilvl w:val="1"/>
          <w:numId w:val="15"/>
        </w:numPr>
        <w:rPr>
          <w:rFonts w:asciiTheme="majorHAnsi" w:hAnsiTheme="majorHAnsi"/>
        </w:rPr>
      </w:pPr>
      <w:r w:rsidRPr="00A61C90">
        <w:rPr>
          <w:rFonts w:asciiTheme="majorHAnsi" w:hAnsiTheme="majorHAnsi"/>
        </w:rPr>
        <w:t>Point-in-time snapshots: Exact timestamps of fire incidents allow granular analysis of daily patterns.</w:t>
      </w:r>
    </w:p>
    <w:p w14:paraId="4DB52F4E" w14:textId="77777777" w:rsidR="00A61C90" w:rsidRPr="00A61C90" w:rsidRDefault="00A61C90" w:rsidP="00A61C90">
      <w:pPr>
        <w:numPr>
          <w:ilvl w:val="1"/>
          <w:numId w:val="15"/>
        </w:numPr>
        <w:rPr>
          <w:rFonts w:asciiTheme="majorHAnsi" w:hAnsiTheme="majorHAnsi"/>
        </w:rPr>
      </w:pPr>
      <w:r w:rsidRPr="00A61C90">
        <w:rPr>
          <w:rFonts w:asciiTheme="majorHAnsi" w:hAnsiTheme="majorHAnsi"/>
        </w:rPr>
        <w:lastRenderedPageBreak/>
        <w:t>Cyclical patterns: Seasonal fire activity reflects recurring trends during specific months.</w:t>
      </w:r>
    </w:p>
    <w:p w14:paraId="3AE48FB0" w14:textId="77777777" w:rsidR="00A61C90" w:rsidRPr="00A61C90" w:rsidRDefault="00A61C90" w:rsidP="00A61C90">
      <w:pPr>
        <w:numPr>
          <w:ilvl w:val="0"/>
          <w:numId w:val="15"/>
        </w:numPr>
        <w:rPr>
          <w:rFonts w:asciiTheme="majorHAnsi" w:hAnsiTheme="majorHAnsi"/>
        </w:rPr>
      </w:pPr>
      <w:r w:rsidRPr="00A61C90">
        <w:rPr>
          <w:rFonts w:asciiTheme="majorHAnsi" w:hAnsiTheme="majorHAnsi"/>
        </w:rPr>
        <w:t>Temporal Granularity:</w:t>
      </w:r>
    </w:p>
    <w:p w14:paraId="6D69304C" w14:textId="77777777" w:rsidR="00A61C90" w:rsidRPr="00A61C90" w:rsidRDefault="00A61C90" w:rsidP="00A61C90">
      <w:pPr>
        <w:numPr>
          <w:ilvl w:val="1"/>
          <w:numId w:val="15"/>
        </w:numPr>
        <w:rPr>
          <w:rFonts w:asciiTheme="majorHAnsi" w:hAnsiTheme="majorHAnsi"/>
        </w:rPr>
      </w:pPr>
      <w:r w:rsidRPr="00A61C90">
        <w:rPr>
          <w:rFonts w:asciiTheme="majorHAnsi" w:hAnsiTheme="majorHAnsi"/>
        </w:rPr>
        <w:t>Data is granular at yearly and monthly levels, suitable for long-term and seasonal analysis.</w:t>
      </w:r>
    </w:p>
    <w:p w14:paraId="776EB9E2" w14:textId="77777777" w:rsidR="00A61C90" w:rsidRPr="00A61C90" w:rsidRDefault="00A61C90" w:rsidP="00A61C90">
      <w:pPr>
        <w:numPr>
          <w:ilvl w:val="0"/>
          <w:numId w:val="15"/>
        </w:numPr>
        <w:rPr>
          <w:rFonts w:asciiTheme="majorHAnsi" w:hAnsiTheme="majorHAnsi"/>
        </w:rPr>
      </w:pPr>
      <w:r w:rsidRPr="00A61C90">
        <w:rPr>
          <w:rFonts w:asciiTheme="majorHAnsi" w:hAnsiTheme="majorHAnsi"/>
        </w:rPr>
        <w:t>Completeness of Temporal Coverage:</w:t>
      </w:r>
    </w:p>
    <w:p w14:paraId="6DDE110E" w14:textId="77777777" w:rsidR="00A61C90" w:rsidRPr="00A61C90" w:rsidRDefault="00A61C90" w:rsidP="00A61C90">
      <w:pPr>
        <w:numPr>
          <w:ilvl w:val="1"/>
          <w:numId w:val="15"/>
        </w:numPr>
        <w:rPr>
          <w:rFonts w:asciiTheme="majorHAnsi" w:hAnsiTheme="majorHAnsi"/>
        </w:rPr>
      </w:pPr>
      <w:r w:rsidRPr="00A61C90">
        <w:rPr>
          <w:rFonts w:asciiTheme="majorHAnsi" w:hAnsiTheme="majorHAnsi"/>
        </w:rPr>
        <w:t>The dataset spans multiple decades, ensuring comprehensive temporal coverage for trends but may lack granularity for earlier years or specific fire events.</w:t>
      </w:r>
    </w:p>
    <w:p w14:paraId="7B412CF6" w14:textId="77777777" w:rsidR="00A61C90" w:rsidRPr="00A61C90" w:rsidRDefault="00A61C90" w:rsidP="00A61C90">
      <w:pPr>
        <w:numPr>
          <w:ilvl w:val="0"/>
          <w:numId w:val="15"/>
        </w:numPr>
        <w:rPr>
          <w:rFonts w:asciiTheme="majorHAnsi" w:hAnsiTheme="majorHAnsi"/>
        </w:rPr>
      </w:pPr>
      <w:r w:rsidRPr="00A61C90">
        <w:rPr>
          <w:rFonts w:asciiTheme="majorHAnsi" w:hAnsiTheme="majorHAnsi"/>
        </w:rPr>
        <w:t>Additional Context Needed:</w:t>
      </w:r>
    </w:p>
    <w:p w14:paraId="0E66C258" w14:textId="77777777" w:rsidR="00A61C90" w:rsidRPr="00A61C90" w:rsidRDefault="00A61C90" w:rsidP="00A61C90">
      <w:pPr>
        <w:numPr>
          <w:ilvl w:val="1"/>
          <w:numId w:val="15"/>
        </w:numPr>
        <w:rPr>
          <w:rFonts w:asciiTheme="majorHAnsi" w:hAnsiTheme="majorHAnsi"/>
        </w:rPr>
      </w:pPr>
      <w:r w:rsidRPr="00A61C90">
        <w:rPr>
          <w:rFonts w:asciiTheme="majorHAnsi" w:hAnsiTheme="majorHAnsi"/>
        </w:rPr>
        <w:t>Environmental data such as rainfall, temperature, and wind speed could enhance the understanding of fire activity patterns.</w:t>
      </w:r>
    </w:p>
    <w:p w14:paraId="173A6FE1" w14:textId="77777777" w:rsidR="00A61C90" w:rsidRPr="00A61C90" w:rsidRDefault="00A61C90" w:rsidP="00A61C90">
      <w:pPr>
        <w:numPr>
          <w:ilvl w:val="1"/>
          <w:numId w:val="15"/>
        </w:numPr>
        <w:rPr>
          <w:rFonts w:asciiTheme="majorHAnsi" w:hAnsiTheme="majorHAnsi"/>
        </w:rPr>
      </w:pPr>
      <w:r w:rsidRPr="00A61C90">
        <w:rPr>
          <w:rFonts w:asciiTheme="majorHAnsi" w:hAnsiTheme="majorHAnsi"/>
        </w:rPr>
        <w:t>Population growth or human activity data can contextualize increasing or decreasing fire incidents.</w:t>
      </w:r>
    </w:p>
    <w:p w14:paraId="2EF5F5DB" w14:textId="77777777" w:rsidR="00A61C90" w:rsidRDefault="00A61C90" w:rsidP="00A61C90">
      <w:pPr>
        <w:ind w:left="720"/>
        <w:rPr>
          <w:rFonts w:asciiTheme="majorHAnsi" w:hAnsiTheme="majorHAnsi"/>
        </w:rPr>
      </w:pPr>
    </w:p>
    <w:p w14:paraId="68BDDCDB" w14:textId="77777777" w:rsidR="00A61C90" w:rsidRPr="00A61C90" w:rsidRDefault="00A61C90" w:rsidP="00A61C90">
      <w:pPr>
        <w:ind w:left="720"/>
        <w:rPr>
          <w:rFonts w:asciiTheme="majorHAnsi" w:hAnsiTheme="majorHAnsi"/>
        </w:rPr>
      </w:pPr>
      <w:r w:rsidRPr="00A61C90">
        <w:rPr>
          <w:rFonts w:asciiTheme="majorHAnsi" w:hAnsiTheme="majorHAnsi"/>
          <w:b/>
          <w:bCs/>
        </w:rPr>
        <w:t>Initial Design Exploration</w:t>
      </w:r>
    </w:p>
    <w:p w14:paraId="56CE9DE1" w14:textId="77777777" w:rsidR="00A61C90" w:rsidRPr="00A61C90" w:rsidRDefault="00A61C90" w:rsidP="00A61C90">
      <w:pPr>
        <w:numPr>
          <w:ilvl w:val="0"/>
          <w:numId w:val="16"/>
        </w:numPr>
        <w:rPr>
          <w:rFonts w:asciiTheme="majorHAnsi" w:hAnsiTheme="majorHAnsi"/>
        </w:rPr>
      </w:pPr>
      <w:r w:rsidRPr="00A61C90">
        <w:rPr>
          <w:rFonts w:asciiTheme="majorHAnsi" w:hAnsiTheme="majorHAnsi"/>
        </w:rPr>
        <w:t>Visualization 1: Line Chart of Annual Fire Incidents</w:t>
      </w:r>
    </w:p>
    <w:p w14:paraId="4F8B9A94" w14:textId="77777777" w:rsidR="00A61C90" w:rsidRPr="00A61C90" w:rsidRDefault="00A61C90" w:rsidP="00A61C90">
      <w:pPr>
        <w:numPr>
          <w:ilvl w:val="1"/>
          <w:numId w:val="16"/>
        </w:numPr>
        <w:rPr>
          <w:rFonts w:asciiTheme="majorHAnsi" w:hAnsiTheme="majorHAnsi"/>
        </w:rPr>
      </w:pPr>
      <w:r w:rsidRPr="00A61C90">
        <w:rPr>
          <w:rFonts w:asciiTheme="majorHAnsi" w:hAnsiTheme="majorHAnsi"/>
        </w:rPr>
        <w:t>Design: A line chart displaying the number of fire incidents by year.</w:t>
      </w:r>
    </w:p>
    <w:p w14:paraId="39B5F170" w14:textId="77777777" w:rsidR="00A61C90" w:rsidRPr="00A61C90" w:rsidRDefault="00A61C90" w:rsidP="00A61C90">
      <w:pPr>
        <w:numPr>
          <w:ilvl w:val="2"/>
          <w:numId w:val="16"/>
        </w:numPr>
        <w:rPr>
          <w:rFonts w:asciiTheme="majorHAnsi" w:hAnsiTheme="majorHAnsi"/>
        </w:rPr>
      </w:pPr>
      <w:r w:rsidRPr="00A61C90">
        <w:rPr>
          <w:rFonts w:asciiTheme="majorHAnsi" w:hAnsiTheme="majorHAnsi"/>
        </w:rPr>
        <w:t>X-axis: Year (1992–2020).</w:t>
      </w:r>
    </w:p>
    <w:p w14:paraId="13FC2F14" w14:textId="77777777" w:rsidR="00A61C90" w:rsidRPr="00A61C90" w:rsidRDefault="00A61C90" w:rsidP="00A61C90">
      <w:pPr>
        <w:numPr>
          <w:ilvl w:val="2"/>
          <w:numId w:val="16"/>
        </w:numPr>
        <w:rPr>
          <w:rFonts w:asciiTheme="majorHAnsi" w:hAnsiTheme="majorHAnsi"/>
        </w:rPr>
      </w:pPr>
      <w:r w:rsidRPr="00A61C90">
        <w:rPr>
          <w:rFonts w:asciiTheme="majorHAnsi" w:hAnsiTheme="majorHAnsi"/>
        </w:rPr>
        <w:t>Y-axis: Total fire incidents.</w:t>
      </w:r>
    </w:p>
    <w:p w14:paraId="4CA6E07E" w14:textId="77777777" w:rsidR="00A61C90" w:rsidRPr="00A61C90" w:rsidRDefault="00A61C90" w:rsidP="00A61C90">
      <w:pPr>
        <w:numPr>
          <w:ilvl w:val="2"/>
          <w:numId w:val="16"/>
        </w:numPr>
        <w:rPr>
          <w:rFonts w:asciiTheme="majorHAnsi" w:hAnsiTheme="majorHAnsi"/>
        </w:rPr>
      </w:pPr>
      <w:r w:rsidRPr="00A61C90">
        <w:rPr>
          <w:rFonts w:asciiTheme="majorHAnsi" w:hAnsiTheme="majorHAnsi"/>
        </w:rPr>
        <w:t>Annotations for significant anomalies (e.g., drought years).</w:t>
      </w:r>
    </w:p>
    <w:p w14:paraId="38FF0D87" w14:textId="77777777" w:rsidR="00A61C90" w:rsidRPr="00A61C90" w:rsidRDefault="00A61C90" w:rsidP="00A61C90">
      <w:pPr>
        <w:numPr>
          <w:ilvl w:val="1"/>
          <w:numId w:val="16"/>
        </w:numPr>
        <w:rPr>
          <w:rFonts w:asciiTheme="majorHAnsi" w:hAnsiTheme="majorHAnsi"/>
        </w:rPr>
      </w:pPr>
      <w:r w:rsidRPr="00A61C90">
        <w:rPr>
          <w:rFonts w:asciiTheme="majorHAnsi" w:hAnsiTheme="majorHAnsi"/>
        </w:rPr>
        <w:t>Purpose: Show long-term trends in fire incidents and identify years with peak activity or sharp declines.</w:t>
      </w:r>
    </w:p>
    <w:p w14:paraId="2BB6C006" w14:textId="77777777" w:rsidR="00A61C90" w:rsidRPr="00A61C90" w:rsidRDefault="00A61C90" w:rsidP="00A61C90">
      <w:pPr>
        <w:numPr>
          <w:ilvl w:val="1"/>
          <w:numId w:val="16"/>
        </w:numPr>
        <w:rPr>
          <w:rFonts w:asciiTheme="majorHAnsi" w:hAnsiTheme="majorHAnsi"/>
        </w:rPr>
      </w:pPr>
      <w:r w:rsidRPr="00A61C90">
        <w:rPr>
          <w:rFonts w:asciiTheme="majorHAnsi" w:hAnsiTheme="majorHAnsi"/>
        </w:rPr>
        <w:t>Stakeholder Benefit: Helps policymakers evaluate the effectiveness of fire management policies and focus on high-risk years.</w:t>
      </w:r>
    </w:p>
    <w:p w14:paraId="1CF160B3" w14:textId="77777777" w:rsidR="00A61C90" w:rsidRPr="00A61C90" w:rsidRDefault="00A61C90" w:rsidP="00A61C90">
      <w:pPr>
        <w:numPr>
          <w:ilvl w:val="0"/>
          <w:numId w:val="16"/>
        </w:numPr>
        <w:rPr>
          <w:rFonts w:asciiTheme="majorHAnsi" w:hAnsiTheme="majorHAnsi"/>
        </w:rPr>
      </w:pPr>
      <w:r w:rsidRPr="00A61C90">
        <w:rPr>
          <w:rFonts w:asciiTheme="majorHAnsi" w:hAnsiTheme="majorHAnsi"/>
        </w:rPr>
        <w:t>Visualization 2: Heatmap of Fire Size by State</w:t>
      </w:r>
    </w:p>
    <w:p w14:paraId="7317878B" w14:textId="77777777" w:rsidR="00A61C90" w:rsidRPr="00A61C90" w:rsidRDefault="00A61C90" w:rsidP="00A61C90">
      <w:pPr>
        <w:numPr>
          <w:ilvl w:val="1"/>
          <w:numId w:val="16"/>
        </w:numPr>
        <w:rPr>
          <w:rFonts w:asciiTheme="majorHAnsi" w:hAnsiTheme="majorHAnsi"/>
        </w:rPr>
      </w:pPr>
      <w:r w:rsidRPr="00A61C90">
        <w:rPr>
          <w:rFonts w:asciiTheme="majorHAnsi" w:hAnsiTheme="majorHAnsi"/>
        </w:rPr>
        <w:t>Design: A heatmap showing the size of fires (in acres) by state and month.</w:t>
      </w:r>
    </w:p>
    <w:p w14:paraId="68B7DB80" w14:textId="77777777" w:rsidR="00A61C90" w:rsidRPr="00A61C90" w:rsidRDefault="00A61C90" w:rsidP="00A61C90">
      <w:pPr>
        <w:numPr>
          <w:ilvl w:val="2"/>
          <w:numId w:val="16"/>
        </w:numPr>
        <w:rPr>
          <w:rFonts w:asciiTheme="majorHAnsi" w:hAnsiTheme="majorHAnsi"/>
        </w:rPr>
      </w:pPr>
      <w:r w:rsidRPr="00A61C90">
        <w:rPr>
          <w:rFonts w:asciiTheme="majorHAnsi" w:hAnsiTheme="majorHAnsi"/>
        </w:rPr>
        <w:t>X-axis: Months (January–December).</w:t>
      </w:r>
    </w:p>
    <w:p w14:paraId="706CAF04" w14:textId="77777777" w:rsidR="00A61C90" w:rsidRPr="00A61C90" w:rsidRDefault="00A61C90" w:rsidP="00A61C90">
      <w:pPr>
        <w:numPr>
          <w:ilvl w:val="2"/>
          <w:numId w:val="16"/>
        </w:numPr>
        <w:rPr>
          <w:rFonts w:asciiTheme="majorHAnsi" w:hAnsiTheme="majorHAnsi"/>
        </w:rPr>
      </w:pPr>
      <w:r w:rsidRPr="00A61C90">
        <w:rPr>
          <w:rFonts w:asciiTheme="majorHAnsi" w:hAnsiTheme="majorHAnsi"/>
        </w:rPr>
        <w:t>Y-axis: States.</w:t>
      </w:r>
    </w:p>
    <w:p w14:paraId="14830D6A" w14:textId="77777777" w:rsidR="00A61C90" w:rsidRPr="00A61C90" w:rsidRDefault="00A61C90" w:rsidP="00A61C90">
      <w:pPr>
        <w:numPr>
          <w:ilvl w:val="2"/>
          <w:numId w:val="16"/>
        </w:numPr>
        <w:rPr>
          <w:rFonts w:asciiTheme="majorHAnsi" w:hAnsiTheme="majorHAnsi"/>
        </w:rPr>
      </w:pPr>
      <w:r w:rsidRPr="00A61C90">
        <w:rPr>
          <w:rFonts w:asciiTheme="majorHAnsi" w:hAnsiTheme="majorHAnsi"/>
        </w:rPr>
        <w:lastRenderedPageBreak/>
        <w:t>Color Scale: Fire size (e.g., lighter shades for smaller fires, darker shades for larger ones).</w:t>
      </w:r>
    </w:p>
    <w:p w14:paraId="02A650A3" w14:textId="77777777" w:rsidR="00A61C90" w:rsidRPr="00A61C90" w:rsidRDefault="00A61C90" w:rsidP="00A61C90">
      <w:pPr>
        <w:numPr>
          <w:ilvl w:val="1"/>
          <w:numId w:val="16"/>
        </w:numPr>
        <w:rPr>
          <w:rFonts w:asciiTheme="majorHAnsi" w:hAnsiTheme="majorHAnsi"/>
        </w:rPr>
      </w:pPr>
      <w:r w:rsidRPr="00A61C90">
        <w:rPr>
          <w:rFonts w:asciiTheme="majorHAnsi" w:hAnsiTheme="majorHAnsi"/>
        </w:rPr>
        <w:t>Purpose: Reveal seasonal and regional patterns of fire activity.</w:t>
      </w:r>
    </w:p>
    <w:p w14:paraId="41702860" w14:textId="77777777" w:rsidR="00A61C90" w:rsidRPr="00A61C90" w:rsidRDefault="00A61C90" w:rsidP="00A61C90">
      <w:pPr>
        <w:numPr>
          <w:ilvl w:val="1"/>
          <w:numId w:val="16"/>
        </w:numPr>
        <w:rPr>
          <w:rFonts w:asciiTheme="majorHAnsi" w:hAnsiTheme="majorHAnsi"/>
        </w:rPr>
      </w:pPr>
      <w:r w:rsidRPr="00A61C90">
        <w:rPr>
          <w:rFonts w:asciiTheme="majorHAnsi" w:hAnsiTheme="majorHAnsi"/>
        </w:rPr>
        <w:t>Stakeholder Benefit: Enables first responders and environmental agencies to allocate resources effectively during peak months and high-risk regions.</w:t>
      </w:r>
    </w:p>
    <w:p w14:paraId="5A7F6AE0" w14:textId="77777777" w:rsidR="00A61C90" w:rsidRDefault="00A61C90" w:rsidP="00A61C90">
      <w:pPr>
        <w:ind w:left="720"/>
        <w:rPr>
          <w:rFonts w:asciiTheme="majorHAnsi" w:hAnsiTheme="majorHAnsi"/>
        </w:rPr>
      </w:pPr>
    </w:p>
    <w:p w14:paraId="0DC799FF" w14:textId="77777777" w:rsidR="00A61C90" w:rsidRDefault="00A61C90" w:rsidP="00A61C90">
      <w:pPr>
        <w:ind w:left="720"/>
        <w:rPr>
          <w:rFonts w:asciiTheme="majorHAnsi" w:hAnsiTheme="majorHAnsi"/>
        </w:rPr>
      </w:pPr>
    </w:p>
    <w:p w14:paraId="633FA771" w14:textId="27B5E412" w:rsidR="00A61C90" w:rsidRDefault="00A61C90" w:rsidP="00A61C90">
      <w:pPr>
        <w:ind w:left="720"/>
        <w:rPr>
          <w:rFonts w:asciiTheme="majorHAnsi" w:hAnsiTheme="majorHAnsi"/>
        </w:rPr>
      </w:pPr>
      <w:r>
        <w:rPr>
          <w:rFonts w:asciiTheme="majorHAnsi" w:hAnsiTheme="majorHAnsi"/>
        </w:rPr>
        <w:t xml:space="preserve">Part2: AI-Assisted Design Process </w:t>
      </w:r>
    </w:p>
    <w:p w14:paraId="4C5D9815" w14:textId="77777777" w:rsidR="00A61C90" w:rsidRDefault="00A61C90" w:rsidP="00A61C90">
      <w:pPr>
        <w:ind w:left="720"/>
        <w:rPr>
          <w:rFonts w:asciiTheme="majorHAnsi" w:hAnsiTheme="majorHAnsi"/>
        </w:rPr>
      </w:pPr>
    </w:p>
    <w:p w14:paraId="4554B596" w14:textId="7B24D30F" w:rsidR="00A61C90" w:rsidRPr="00A61C90" w:rsidRDefault="00A61C90" w:rsidP="00A61C90">
      <w:pPr>
        <w:ind w:left="720"/>
        <w:rPr>
          <w:rFonts w:asciiTheme="majorHAnsi" w:hAnsiTheme="majorHAnsi"/>
        </w:rPr>
      </w:pPr>
      <w:r w:rsidRPr="00A61C90">
        <w:rPr>
          <w:rFonts w:asciiTheme="majorHAnsi" w:hAnsiTheme="majorHAnsi"/>
        </w:rPr>
        <w:t>AI tools, specifically ChatGPT (OpenAI v4.0), were used to brainstorm visualization ideas, identify key variables for temporal analysis, and align designs with stakeholder needs. Prompts such as “Suggest visualization designs for temporal analysis of wildfire incidents” and “Explain how line charts and heatmaps can show yearly and seasonal trends” helped refine the approach. While AI provided creative suggestions like combining seasonal and yearly trends into complementary visuals and annotating anomalies in line charts, it lacked details on technical feasibility and handling overlapping data in heatmaps. To address these limitations, manual adjustments were made, such as refining the color scales and simplifying AI-proposed animations into static heatmaps. Overall, AI accelerated the design process, but human intervention was crucial to implement practical and effective solutions.</w:t>
      </w:r>
    </w:p>
    <w:p w14:paraId="0B072C8A" w14:textId="77777777" w:rsidR="00A61C90" w:rsidRPr="00A61C90" w:rsidRDefault="00A61C90" w:rsidP="00A61C90">
      <w:pPr>
        <w:rPr>
          <w:rFonts w:asciiTheme="majorHAnsi" w:hAnsiTheme="majorHAnsi"/>
        </w:rPr>
      </w:pPr>
    </w:p>
    <w:sectPr w:rsidR="00A61C90" w:rsidRPr="00A6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0BA0"/>
    <w:multiLevelType w:val="multilevel"/>
    <w:tmpl w:val="2F58A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45498"/>
    <w:multiLevelType w:val="multilevel"/>
    <w:tmpl w:val="326E0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A521E"/>
    <w:multiLevelType w:val="multilevel"/>
    <w:tmpl w:val="2A08D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B4E0F"/>
    <w:multiLevelType w:val="multilevel"/>
    <w:tmpl w:val="CF826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46563"/>
    <w:multiLevelType w:val="multilevel"/>
    <w:tmpl w:val="87ECE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D5EAB"/>
    <w:multiLevelType w:val="multilevel"/>
    <w:tmpl w:val="37D8C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03FEF"/>
    <w:multiLevelType w:val="multilevel"/>
    <w:tmpl w:val="0F7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26A6B"/>
    <w:multiLevelType w:val="multilevel"/>
    <w:tmpl w:val="8C449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4514C7"/>
    <w:multiLevelType w:val="multilevel"/>
    <w:tmpl w:val="A7609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67062"/>
    <w:multiLevelType w:val="multilevel"/>
    <w:tmpl w:val="7B921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32459"/>
    <w:multiLevelType w:val="multilevel"/>
    <w:tmpl w:val="41A00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50D37"/>
    <w:multiLevelType w:val="multilevel"/>
    <w:tmpl w:val="696A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52873"/>
    <w:multiLevelType w:val="multilevel"/>
    <w:tmpl w:val="DEE47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92B7D"/>
    <w:multiLevelType w:val="multilevel"/>
    <w:tmpl w:val="4E00B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C2B8E"/>
    <w:multiLevelType w:val="multilevel"/>
    <w:tmpl w:val="577C8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71060">
    <w:abstractNumId w:val="9"/>
  </w:num>
  <w:num w:numId="2" w16cid:durableId="990330648">
    <w:abstractNumId w:val="0"/>
  </w:num>
  <w:num w:numId="3" w16cid:durableId="954674660">
    <w:abstractNumId w:val="6"/>
  </w:num>
  <w:num w:numId="4" w16cid:durableId="1836920355">
    <w:abstractNumId w:val="3"/>
  </w:num>
  <w:num w:numId="5" w16cid:durableId="172938281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142044520">
    <w:abstractNumId w:val="1"/>
  </w:num>
  <w:num w:numId="7" w16cid:durableId="759913065">
    <w:abstractNumId w:val="5"/>
  </w:num>
  <w:num w:numId="8" w16cid:durableId="2144272863">
    <w:abstractNumId w:val="4"/>
  </w:num>
  <w:num w:numId="9" w16cid:durableId="379132481">
    <w:abstractNumId w:val="2"/>
  </w:num>
  <w:num w:numId="10" w16cid:durableId="447507251">
    <w:abstractNumId w:val="13"/>
  </w:num>
  <w:num w:numId="11" w16cid:durableId="1973826944">
    <w:abstractNumId w:val="10"/>
  </w:num>
  <w:num w:numId="12" w16cid:durableId="1541898086">
    <w:abstractNumId w:val="14"/>
  </w:num>
  <w:num w:numId="13" w16cid:durableId="2086947603">
    <w:abstractNumId w:val="7"/>
  </w:num>
  <w:num w:numId="14" w16cid:durableId="575168826">
    <w:abstractNumId w:val="12"/>
  </w:num>
  <w:num w:numId="15" w16cid:durableId="1899319367">
    <w:abstractNumId w:val="11"/>
  </w:num>
  <w:num w:numId="16" w16cid:durableId="1456752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F"/>
    <w:rsid w:val="0011694A"/>
    <w:rsid w:val="00143850"/>
    <w:rsid w:val="005A7D95"/>
    <w:rsid w:val="00A61C90"/>
    <w:rsid w:val="00B0714F"/>
    <w:rsid w:val="00B6486E"/>
    <w:rsid w:val="00F6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4EFD"/>
  <w15:chartTrackingRefBased/>
  <w15:docId w15:val="{F83D4AD0-5171-244B-B528-333C9831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14F"/>
    <w:rPr>
      <w:rFonts w:eastAsiaTheme="majorEastAsia" w:cstheme="majorBidi"/>
      <w:color w:val="272727" w:themeColor="text1" w:themeTint="D8"/>
    </w:rPr>
  </w:style>
  <w:style w:type="paragraph" w:styleId="Title">
    <w:name w:val="Title"/>
    <w:basedOn w:val="Normal"/>
    <w:next w:val="Normal"/>
    <w:link w:val="TitleChar"/>
    <w:uiPriority w:val="10"/>
    <w:qFormat/>
    <w:rsid w:val="00B07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14F"/>
    <w:pPr>
      <w:spacing w:before="160"/>
      <w:jc w:val="center"/>
    </w:pPr>
    <w:rPr>
      <w:i/>
      <w:iCs/>
      <w:color w:val="404040" w:themeColor="text1" w:themeTint="BF"/>
    </w:rPr>
  </w:style>
  <w:style w:type="character" w:customStyle="1" w:styleId="QuoteChar">
    <w:name w:val="Quote Char"/>
    <w:basedOn w:val="DefaultParagraphFont"/>
    <w:link w:val="Quote"/>
    <w:uiPriority w:val="29"/>
    <w:rsid w:val="00B0714F"/>
    <w:rPr>
      <w:i/>
      <w:iCs/>
      <w:color w:val="404040" w:themeColor="text1" w:themeTint="BF"/>
    </w:rPr>
  </w:style>
  <w:style w:type="paragraph" w:styleId="ListParagraph">
    <w:name w:val="List Paragraph"/>
    <w:basedOn w:val="Normal"/>
    <w:uiPriority w:val="34"/>
    <w:qFormat/>
    <w:rsid w:val="00B0714F"/>
    <w:pPr>
      <w:ind w:left="720"/>
      <w:contextualSpacing/>
    </w:pPr>
  </w:style>
  <w:style w:type="character" w:styleId="IntenseEmphasis">
    <w:name w:val="Intense Emphasis"/>
    <w:basedOn w:val="DefaultParagraphFont"/>
    <w:uiPriority w:val="21"/>
    <w:qFormat/>
    <w:rsid w:val="00B0714F"/>
    <w:rPr>
      <w:i/>
      <w:iCs/>
      <w:color w:val="0F4761" w:themeColor="accent1" w:themeShade="BF"/>
    </w:rPr>
  </w:style>
  <w:style w:type="paragraph" w:styleId="IntenseQuote">
    <w:name w:val="Intense Quote"/>
    <w:basedOn w:val="Normal"/>
    <w:next w:val="Normal"/>
    <w:link w:val="IntenseQuoteChar"/>
    <w:uiPriority w:val="30"/>
    <w:qFormat/>
    <w:rsid w:val="00B07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14F"/>
    <w:rPr>
      <w:i/>
      <w:iCs/>
      <w:color w:val="0F4761" w:themeColor="accent1" w:themeShade="BF"/>
    </w:rPr>
  </w:style>
  <w:style w:type="character" w:styleId="IntenseReference">
    <w:name w:val="Intense Reference"/>
    <w:basedOn w:val="DefaultParagraphFont"/>
    <w:uiPriority w:val="32"/>
    <w:qFormat/>
    <w:rsid w:val="00B071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568">
      <w:bodyDiv w:val="1"/>
      <w:marLeft w:val="0"/>
      <w:marRight w:val="0"/>
      <w:marTop w:val="0"/>
      <w:marBottom w:val="0"/>
      <w:divBdr>
        <w:top w:val="none" w:sz="0" w:space="0" w:color="auto"/>
        <w:left w:val="none" w:sz="0" w:space="0" w:color="auto"/>
        <w:bottom w:val="none" w:sz="0" w:space="0" w:color="auto"/>
        <w:right w:val="none" w:sz="0" w:space="0" w:color="auto"/>
      </w:divBdr>
    </w:div>
    <w:div w:id="121046360">
      <w:bodyDiv w:val="1"/>
      <w:marLeft w:val="0"/>
      <w:marRight w:val="0"/>
      <w:marTop w:val="0"/>
      <w:marBottom w:val="0"/>
      <w:divBdr>
        <w:top w:val="none" w:sz="0" w:space="0" w:color="auto"/>
        <w:left w:val="none" w:sz="0" w:space="0" w:color="auto"/>
        <w:bottom w:val="none" w:sz="0" w:space="0" w:color="auto"/>
        <w:right w:val="none" w:sz="0" w:space="0" w:color="auto"/>
      </w:divBdr>
    </w:div>
    <w:div w:id="146946489">
      <w:bodyDiv w:val="1"/>
      <w:marLeft w:val="0"/>
      <w:marRight w:val="0"/>
      <w:marTop w:val="0"/>
      <w:marBottom w:val="0"/>
      <w:divBdr>
        <w:top w:val="none" w:sz="0" w:space="0" w:color="auto"/>
        <w:left w:val="none" w:sz="0" w:space="0" w:color="auto"/>
        <w:bottom w:val="none" w:sz="0" w:space="0" w:color="auto"/>
        <w:right w:val="none" w:sz="0" w:space="0" w:color="auto"/>
      </w:divBdr>
    </w:div>
    <w:div w:id="198395054">
      <w:bodyDiv w:val="1"/>
      <w:marLeft w:val="0"/>
      <w:marRight w:val="0"/>
      <w:marTop w:val="0"/>
      <w:marBottom w:val="0"/>
      <w:divBdr>
        <w:top w:val="none" w:sz="0" w:space="0" w:color="auto"/>
        <w:left w:val="none" w:sz="0" w:space="0" w:color="auto"/>
        <w:bottom w:val="none" w:sz="0" w:space="0" w:color="auto"/>
        <w:right w:val="none" w:sz="0" w:space="0" w:color="auto"/>
      </w:divBdr>
    </w:div>
    <w:div w:id="844975941">
      <w:bodyDiv w:val="1"/>
      <w:marLeft w:val="0"/>
      <w:marRight w:val="0"/>
      <w:marTop w:val="0"/>
      <w:marBottom w:val="0"/>
      <w:divBdr>
        <w:top w:val="none" w:sz="0" w:space="0" w:color="auto"/>
        <w:left w:val="none" w:sz="0" w:space="0" w:color="auto"/>
        <w:bottom w:val="none" w:sz="0" w:space="0" w:color="auto"/>
        <w:right w:val="none" w:sz="0" w:space="0" w:color="auto"/>
      </w:divBdr>
    </w:div>
    <w:div w:id="981037169">
      <w:bodyDiv w:val="1"/>
      <w:marLeft w:val="0"/>
      <w:marRight w:val="0"/>
      <w:marTop w:val="0"/>
      <w:marBottom w:val="0"/>
      <w:divBdr>
        <w:top w:val="none" w:sz="0" w:space="0" w:color="auto"/>
        <w:left w:val="none" w:sz="0" w:space="0" w:color="auto"/>
        <w:bottom w:val="none" w:sz="0" w:space="0" w:color="auto"/>
        <w:right w:val="none" w:sz="0" w:space="0" w:color="auto"/>
      </w:divBdr>
    </w:div>
    <w:div w:id="1012874611">
      <w:bodyDiv w:val="1"/>
      <w:marLeft w:val="0"/>
      <w:marRight w:val="0"/>
      <w:marTop w:val="0"/>
      <w:marBottom w:val="0"/>
      <w:divBdr>
        <w:top w:val="none" w:sz="0" w:space="0" w:color="auto"/>
        <w:left w:val="none" w:sz="0" w:space="0" w:color="auto"/>
        <w:bottom w:val="none" w:sz="0" w:space="0" w:color="auto"/>
        <w:right w:val="none" w:sz="0" w:space="0" w:color="auto"/>
      </w:divBdr>
    </w:div>
    <w:div w:id="1197547795">
      <w:bodyDiv w:val="1"/>
      <w:marLeft w:val="0"/>
      <w:marRight w:val="0"/>
      <w:marTop w:val="0"/>
      <w:marBottom w:val="0"/>
      <w:divBdr>
        <w:top w:val="none" w:sz="0" w:space="0" w:color="auto"/>
        <w:left w:val="none" w:sz="0" w:space="0" w:color="auto"/>
        <w:bottom w:val="none" w:sz="0" w:space="0" w:color="auto"/>
        <w:right w:val="none" w:sz="0" w:space="0" w:color="auto"/>
      </w:divBdr>
    </w:div>
    <w:div w:id="1248727413">
      <w:bodyDiv w:val="1"/>
      <w:marLeft w:val="0"/>
      <w:marRight w:val="0"/>
      <w:marTop w:val="0"/>
      <w:marBottom w:val="0"/>
      <w:divBdr>
        <w:top w:val="none" w:sz="0" w:space="0" w:color="auto"/>
        <w:left w:val="none" w:sz="0" w:space="0" w:color="auto"/>
        <w:bottom w:val="none" w:sz="0" w:space="0" w:color="auto"/>
        <w:right w:val="none" w:sz="0" w:space="0" w:color="auto"/>
      </w:divBdr>
    </w:div>
    <w:div w:id="1425567685">
      <w:bodyDiv w:val="1"/>
      <w:marLeft w:val="0"/>
      <w:marRight w:val="0"/>
      <w:marTop w:val="0"/>
      <w:marBottom w:val="0"/>
      <w:divBdr>
        <w:top w:val="none" w:sz="0" w:space="0" w:color="auto"/>
        <w:left w:val="none" w:sz="0" w:space="0" w:color="auto"/>
        <w:bottom w:val="none" w:sz="0" w:space="0" w:color="auto"/>
        <w:right w:val="none" w:sz="0" w:space="0" w:color="auto"/>
      </w:divBdr>
    </w:div>
    <w:div w:id="1443719135">
      <w:bodyDiv w:val="1"/>
      <w:marLeft w:val="0"/>
      <w:marRight w:val="0"/>
      <w:marTop w:val="0"/>
      <w:marBottom w:val="0"/>
      <w:divBdr>
        <w:top w:val="none" w:sz="0" w:space="0" w:color="auto"/>
        <w:left w:val="none" w:sz="0" w:space="0" w:color="auto"/>
        <w:bottom w:val="none" w:sz="0" w:space="0" w:color="auto"/>
        <w:right w:val="none" w:sz="0" w:space="0" w:color="auto"/>
      </w:divBdr>
    </w:div>
    <w:div w:id="1525636582">
      <w:bodyDiv w:val="1"/>
      <w:marLeft w:val="0"/>
      <w:marRight w:val="0"/>
      <w:marTop w:val="0"/>
      <w:marBottom w:val="0"/>
      <w:divBdr>
        <w:top w:val="none" w:sz="0" w:space="0" w:color="auto"/>
        <w:left w:val="none" w:sz="0" w:space="0" w:color="auto"/>
        <w:bottom w:val="none" w:sz="0" w:space="0" w:color="auto"/>
        <w:right w:val="none" w:sz="0" w:space="0" w:color="auto"/>
      </w:divBdr>
    </w:div>
    <w:div w:id="1729299615">
      <w:bodyDiv w:val="1"/>
      <w:marLeft w:val="0"/>
      <w:marRight w:val="0"/>
      <w:marTop w:val="0"/>
      <w:marBottom w:val="0"/>
      <w:divBdr>
        <w:top w:val="none" w:sz="0" w:space="0" w:color="auto"/>
        <w:left w:val="none" w:sz="0" w:space="0" w:color="auto"/>
        <w:bottom w:val="none" w:sz="0" w:space="0" w:color="auto"/>
        <w:right w:val="none" w:sz="0" w:space="0" w:color="auto"/>
      </w:divBdr>
    </w:div>
    <w:div w:id="1760369620">
      <w:bodyDiv w:val="1"/>
      <w:marLeft w:val="0"/>
      <w:marRight w:val="0"/>
      <w:marTop w:val="0"/>
      <w:marBottom w:val="0"/>
      <w:divBdr>
        <w:top w:val="none" w:sz="0" w:space="0" w:color="auto"/>
        <w:left w:val="none" w:sz="0" w:space="0" w:color="auto"/>
        <w:bottom w:val="none" w:sz="0" w:space="0" w:color="auto"/>
        <w:right w:val="none" w:sz="0" w:space="0" w:color="auto"/>
      </w:divBdr>
    </w:div>
    <w:div w:id="1860200613">
      <w:bodyDiv w:val="1"/>
      <w:marLeft w:val="0"/>
      <w:marRight w:val="0"/>
      <w:marTop w:val="0"/>
      <w:marBottom w:val="0"/>
      <w:divBdr>
        <w:top w:val="none" w:sz="0" w:space="0" w:color="auto"/>
        <w:left w:val="none" w:sz="0" w:space="0" w:color="auto"/>
        <w:bottom w:val="none" w:sz="0" w:space="0" w:color="auto"/>
        <w:right w:val="none" w:sz="0" w:space="0" w:color="auto"/>
      </w:divBdr>
    </w:div>
    <w:div w:id="189557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Abhay</dc:creator>
  <cp:keywords/>
  <dc:description/>
  <cp:lastModifiedBy>Singh, Abhay</cp:lastModifiedBy>
  <cp:revision>1</cp:revision>
  <dcterms:created xsi:type="dcterms:W3CDTF">2025-01-25T20:03:00Z</dcterms:created>
  <dcterms:modified xsi:type="dcterms:W3CDTF">2025-01-25T21:20:00Z</dcterms:modified>
</cp:coreProperties>
</file>