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 — COMPONENT MODELLING &amp; ARCHITECTURAL PATTERN SELECTION</w:t>
      </w:r>
    </w:p>
    <w:p>
      <w:pPr>
        <w:jc w:val="center"/>
      </w:pPr>
      <w:r>
        <w:rPr>
          <w:b/>
          <w:sz w:val="22"/>
        </w:rPr>
        <w:t>Telemedicine Slot Booking &amp; Prescription Portal — Problem Statement #11</w:t>
      </w:r>
    </w:p>
    <w:p>
      <w:r>
        <w:rPr>
          <w:b/>
          <w:sz w:val="22"/>
        </w:rPr>
        <w:t>1. Architecture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sz w:val="16"/>
              </w:rPr>
              <w:t>Architectural Style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Advantages for Telemedicine Portal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Disadvantages</w:t>
            </w:r>
          </w:p>
        </w:tc>
      </w:tr>
      <w:tr>
        <w:tc>
          <w:tcPr>
            <w:tcW w:type="dxa" w:w="3552"/>
          </w:tcPr>
          <w:p>
            <w:r>
              <w:rPr>
                <w:sz w:val="16"/>
              </w:rPr>
              <w:t>Layered Architecture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Clear separation of presentation, business logic and data; simple to understand and maintain.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Limited independent scalability; changes or high load in one layer can affect the overall application.</w:t>
            </w:r>
          </w:p>
        </w:tc>
      </w:tr>
      <w:tr>
        <w:tc>
          <w:tcPr>
            <w:tcW w:type="dxa" w:w="3552"/>
          </w:tcPr>
          <w:p>
            <w:r>
              <w:rPr>
                <w:sz w:val="16"/>
              </w:rPr>
              <w:t>Microservices Architecture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Booking, payment, telehealth and prescription services can operate independently; supports independent scaling and fault isolation.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Higher development/operational complexity; inter-service communication adds network overhead and consistency challenges.</w:t>
            </w:r>
          </w:p>
        </w:tc>
      </w:tr>
      <w:tr>
        <w:tc>
          <w:tcPr>
            <w:tcW w:type="dxa" w:w="3552"/>
          </w:tcPr>
          <w:p>
            <w:r>
              <w:rPr>
                <w:sz w:val="16"/>
              </w:rPr>
              <w:t>Client-Server Architecture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Centralized management of patient, appointment and medical data; relatively simple deployment.</w:t>
            </w:r>
          </w:p>
        </w:tc>
        <w:tc>
          <w:tcPr>
            <w:tcW w:type="dxa" w:w="3552"/>
          </w:tcPr>
          <w:p>
            <w:r>
              <w:rPr>
                <w:sz w:val="16"/>
              </w:rPr>
              <w:t>Central server can become a bottleneck or single point of failure, reducing scalability and fault tolerance.</w:t>
            </w:r>
          </w:p>
        </w:tc>
      </w:tr>
    </w:tbl>
    <w:p>
      <w:r>
        <w:rPr>
          <w:b/>
          <w:sz w:val="22"/>
        </w:rPr>
        <w:t>2. Architecture Selection</w:t>
      </w:r>
    </w:p>
    <w:p>
      <w:r>
        <w:rPr>
          <w:b/>
        </w:rPr>
        <w:t xml:space="preserve">Selected Architecture: </w:t>
      </w:r>
      <w:r>
        <w:t>Hybrid Layered-Microservices Architecture.</w:t>
      </w:r>
    </w:p>
    <w:p>
      <w:r>
        <w:t>We chose a Hybrid Layered-Microservices Architecture for the Telemedicine Slot Booking &amp; Prescription Portal because it combines the clear separation of concerns of layered architecture with the independent scalability and fault isolation of microservices.</w:t>
      </w:r>
    </w:p>
    <w:p>
      <w:r>
        <w:rPr>
          <w:b/>
        </w:rPr>
        <w:t>Two scenario-related reasons:</w:t>
      </w:r>
    </w:p>
    <w:p>
      <w:pPr>
        <w:pStyle w:val="ListBullet"/>
      </w:pPr>
      <w:r>
        <w:t>Separation of concerns and modularity: appointment booking, payment, telehealth and prescription management have distinct responsibilities and can be developed or maintained independently.</w:t>
      </w:r>
    </w:p>
    <w:p>
      <w:pPr>
        <w:pStyle w:val="ListBullet"/>
      </w:pPr>
      <w:r>
        <w:t>Independent scalability and reliability: booking/search traffic can increase independently of active video sessions, allowing relevant services to scale without scaling the entire system.</w:t>
      </w:r>
    </w:p>
    <w:p>
      <w:r>
        <w:rPr>
          <w:b/>
        </w:rPr>
        <w:t xml:space="preserve">Security Advantage: </w:t>
      </w:r>
      <w:r>
        <w:t>The API Gateway provides a controlled entry point with authentication/authorization, while TLS 1.3 protects client-server and inter-service communication and AES-256 protects applicable sensitive data at rest.</w:t>
      </w:r>
    </w:p>
    <w:p>
      <w:r>
        <w:rPr>
          <w:b/>
        </w:rPr>
        <w:t xml:space="preserve">Performance Benefit: </w:t>
      </w:r>
      <w:r>
        <w:t>Independent service scaling and asynchronous processing for resource-intensive operations reduce unnecessary blocking and are designed to support responsive search and booking operations within the project's 2-second target.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