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Requirements Specification: Telemedicine Slot Booking &amp; Prescription Portal</w:t>
      </w:r>
    </w:p>
    <w:p>
      <w:r>
        <w:t>This document outlines the software requirements for Problem Statement #11: Telemedicine Slot Booking &amp; Prescription Portal. The system provides a secure healthcare consultation platform allowing remote patients to view doctor specialties, book video consultation slots, receive encrypted tele-consultation room links, and download digitally signed prescriptions.</w:t>
      </w:r>
    </w:p>
    <w:p>
      <w:pPr>
        <w:pStyle w:val="Heading2"/>
      </w:pPr>
      <w:r>
        <w:t>Requirements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Req ID</w:t>
            </w:r>
          </w:p>
        </w:tc>
        <w:tc>
          <w:tcPr>
            <w:tcW w:type="dxa" w:w="1440"/>
          </w:tcPr>
          <w:p>
            <w:r>
              <w:t>Type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Priority</w:t>
            </w:r>
          </w:p>
        </w:tc>
        <w:tc>
          <w:tcPr>
            <w:tcW w:type="dxa" w:w="1440"/>
          </w:tcPr>
          <w:p>
            <w:r>
              <w:t>Acceptance Criteria</w:t>
            </w:r>
          </w:p>
        </w:tc>
        <w:tc>
          <w:tcPr>
            <w:tcW w:type="dxa" w:w="1440"/>
          </w:tcPr>
          <w:p>
            <w:r>
              <w:t>Rationale</w:t>
            </w:r>
          </w:p>
        </w:tc>
      </w:tr>
      <w:tr>
        <w:tc>
          <w:tcPr>
            <w:tcW w:type="dxa" w:w="1440"/>
          </w:tcPr>
          <w:p>
            <w:r>
              <w:t>FR-001</w:t>
            </w:r>
          </w:p>
        </w:tc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The system shall enable physicians to author and digitally sign structured prescriptions that are automatically compiled into downloadable PDF records.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Pass: Valid cryptographic signature attached to prescription PDF.</w:t>
              <w:br/>
              <w:t>Fail: Prescription generated without doctor license validation.</w:t>
            </w:r>
          </w:p>
        </w:tc>
        <w:tc>
          <w:tcPr>
            <w:tcW w:type="dxa" w:w="1440"/>
          </w:tcPr>
          <w:p>
            <w:r>
              <w:t>Ensures prescription authenticity and legal compliance.</w:t>
            </w:r>
          </w:p>
        </w:tc>
      </w:tr>
      <w:tr>
        <w:tc>
          <w:tcPr>
            <w:tcW w:type="dxa" w:w="1440"/>
          </w:tcPr>
          <w:p>
            <w:r>
              <w:t>FR-002</w:t>
            </w:r>
          </w:p>
        </w:tc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The system shall allow patients to browse and filter doctors by medical specialties and view professional profiles.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Pass: Selecting a specialty displays a list of matching doctors with valid availability calendars.</w:t>
              <w:br/>
              <w:t>Fail: Incorrect filtering or missing profile details.</w:t>
            </w:r>
          </w:p>
        </w:tc>
        <w:tc>
          <w:tcPr>
            <w:tcW w:type="dxa" w:w="1440"/>
          </w:tcPr>
          <w:p>
            <w:r>
              <w:t>Core discovery feature enabling patients to find appropriate care.</w:t>
            </w:r>
          </w:p>
        </w:tc>
      </w:tr>
      <w:tr>
        <w:tc>
          <w:tcPr>
            <w:tcW w:type="dxa" w:w="1440"/>
          </w:tcPr>
          <w:p>
            <w:r>
              <w:t>FR-003</w:t>
            </w:r>
          </w:p>
        </w:tc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The system shall allow patients to select available consultation time slots and securely process consultation fee payments.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Pass: Successful payment authorization generates a booking confirmation screen and appointment ID.</w:t>
              <w:br/>
              <w:t>Fail: Slot remains unreserved if payment fails.</w:t>
            </w:r>
          </w:p>
        </w:tc>
        <w:tc>
          <w:tcPr>
            <w:tcW w:type="dxa" w:w="1440"/>
          </w:tcPr>
          <w:p>
            <w:r>
              <w:t>Essential transactional workflow for booking consultations.</w:t>
            </w:r>
          </w:p>
        </w:tc>
      </w:tr>
      <w:tr>
        <w:tc>
          <w:tcPr>
            <w:tcW w:type="dxa" w:w="1440"/>
          </w:tcPr>
          <w:p>
            <w:r>
              <w:t>FR-004</w:t>
            </w:r>
          </w:p>
        </w:tc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The system shall automatically generate and transmit encrypted video room links to both patient and physician upon successful booking confirmation.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Pass: Unique meeting URL is delivered via email/SMS 15 minutes before the scheduled slot.</w:t>
              <w:br/>
              <w:t>Fail: Link is invalid, expired, or missing.</w:t>
            </w:r>
          </w:p>
        </w:tc>
        <w:tc>
          <w:tcPr>
            <w:tcW w:type="dxa" w:w="1440"/>
          </w:tcPr>
          <w:p>
            <w:r>
              <w:t>Enables remote video consultation access.</w:t>
            </w:r>
          </w:p>
        </w:tc>
      </w:tr>
      <w:tr>
        <w:tc>
          <w:tcPr>
            <w:tcW w:type="dxa" w:w="1440"/>
          </w:tcPr>
          <w:p>
            <w:r>
              <w:t>FR-005</w:t>
            </w:r>
          </w:p>
        </w:tc>
        <w:tc>
          <w:tcPr>
            <w:tcW w:type="dxa" w:w="1440"/>
          </w:tcPr>
          <w:p>
            <w:r>
              <w:t>Functional</w:t>
            </w:r>
          </w:p>
        </w:tc>
        <w:tc>
          <w:tcPr>
            <w:tcW w:type="dxa" w:w="1440"/>
          </w:tcPr>
          <w:p>
            <w:r>
              <w:t>The system shall allow patients to view historical consultation records and download their digitally signed prescriptions as PDFs.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Pass: Patient dashboard lists past appointments with working "Download PDF" buttons for signed prescriptions.</w:t>
              <w:br/>
              <w:t>Fail: Unauthorized access to prescription files.</w:t>
            </w:r>
          </w:p>
        </w:tc>
        <w:tc>
          <w:tcPr>
            <w:tcW w:type="dxa" w:w="1440"/>
          </w:tcPr>
          <w:p>
            <w:r>
              <w:t>Ensures continuity of care and ongoing patient record access.</w:t>
            </w:r>
          </w:p>
        </w:tc>
      </w:tr>
      <w:tr>
        <w:tc>
          <w:tcPr>
            <w:tcW w:type="dxa" w:w="1440"/>
          </w:tcPr>
          <w:p>
            <w:r>
              <w:t>NFR-001</w:t>
            </w:r>
          </w:p>
        </w:tc>
        <w:tc>
          <w:tcPr>
            <w:tcW w:type="dxa" w:w="1440"/>
          </w:tcPr>
          <w:p>
            <w:r>
              <w:t>Nonfunctional</w:t>
            </w:r>
          </w:p>
        </w:tc>
        <w:tc>
          <w:tcPr>
            <w:tcW w:type="dxa" w:w="1440"/>
          </w:tcPr>
          <w:p>
            <w:r>
              <w:t>All video session metadata and patient clinical notes must be encrypted in transit using TLS 1.3 and at rest with AES-256.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  <w:tc>
          <w:tcPr>
            <w:tcW w:type="dxa" w:w="1440"/>
          </w:tcPr>
          <w:p>
            <w:r>
              <w:t>Pass: Benchmarking and security scans confirm encryption standards and target latency under simulated peak load.</w:t>
              <w:br/>
              <w:t>Fail: Unencrypted data transmission or storage detected.</w:t>
            </w:r>
          </w:p>
        </w:tc>
        <w:tc>
          <w:tcPr>
            <w:tcW w:type="dxa" w:w="1440"/>
          </w:tcPr>
          <w:p>
            <w:r>
              <w:t>Complies with healthcare data privacy and security regulations (HIPAA/DISHA).</w:t>
            </w:r>
          </w:p>
        </w:tc>
      </w:tr>
      <w:tr>
        <w:tc>
          <w:tcPr>
            <w:tcW w:type="dxa" w:w="1440"/>
          </w:tcPr>
          <w:p>
            <w:r>
              <w:t>NFR-002</w:t>
            </w:r>
          </w:p>
        </w:tc>
        <w:tc>
          <w:tcPr>
            <w:tcW w:type="dxa" w:w="1440"/>
          </w:tcPr>
          <w:p>
            <w:r>
              <w:t>Nonfunctional</w:t>
            </w:r>
          </w:p>
        </w:tc>
        <w:tc>
          <w:tcPr>
            <w:tcW w:type="dxa" w:w="1440"/>
          </w:tcPr>
          <w:p>
            <w:r>
              <w:t>The system search and booking dashboard shall load search results and available time slots within 2 seconds.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Pass: Automated performance testing shows 95% of doctor directory queries resolve in &lt; 2 seconds under normal network load.</w:t>
              <w:br/>
              <w:t>Fail: Page load exceeds 3 seconds.</w:t>
            </w:r>
          </w:p>
        </w:tc>
        <w:tc>
          <w:tcPr>
            <w:tcW w:type="dxa" w:w="1440"/>
          </w:tcPr>
          <w:p>
            <w:r>
              <w:t>Ensures responsive user experience and prevents user drop-off during peak clinic hours.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