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sz w:val="32"/>
          <w:szCs w:val="32"/>
        </w:rPr>
      </w:pPr>
      <w:r w:rsidRPr="000B70F4">
        <w:rPr>
          <w:rFonts w:ascii="TT15Ct00" w:hAnsi="TT15Ct00" w:cs="TT15Ct00"/>
          <w:b/>
          <w:sz w:val="32"/>
          <w:szCs w:val="32"/>
        </w:rPr>
        <w:t>File to IDOC Scenario</w:t>
      </w:r>
    </w:p>
    <w:p w:rsidR="000B70F4" w:rsidRP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sz w:val="32"/>
          <w:szCs w:val="32"/>
        </w:rPr>
      </w:pPr>
    </w:p>
    <w:p w:rsidR="000B70F4" w:rsidRP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0B70F4">
        <w:rPr>
          <w:rFonts w:ascii="TT15Et00" w:hAnsi="TT15Et00" w:cs="TT15Et00"/>
          <w:b/>
        </w:rPr>
        <w:t>Pre- requisite to start this development-</w:t>
      </w:r>
    </w:p>
    <w:p w:rsidR="000B70F4" w:rsidRP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  <w:r w:rsidRPr="000B70F4">
        <w:rPr>
          <w:rFonts w:ascii="TT15Et00" w:hAnsi="TT15Et00" w:cs="TT15Et00"/>
          <w:b/>
        </w:rPr>
        <w:t>Integration Repository</w:t>
      </w:r>
      <w:r>
        <w:rPr>
          <w:rFonts w:ascii="TT15Et00" w:hAnsi="TT15Et00" w:cs="TT15Et00"/>
          <w:sz w:val="24"/>
          <w:szCs w:val="24"/>
        </w:rPr>
        <w:t xml:space="preserve"> </w:t>
      </w:r>
      <w:r>
        <w:rPr>
          <w:rFonts w:ascii="TT15Ct00" w:hAnsi="TT15Ct00" w:cs="TT15Ct00"/>
          <w:sz w:val="24"/>
          <w:szCs w:val="24"/>
        </w:rPr>
        <w:t>- Software Components defined for Sender and Receiver</w:t>
      </w:r>
      <w:r w:rsidR="005C4CC3">
        <w:rPr>
          <w:rFonts w:ascii="TT15Ct00" w:hAnsi="TT15Ct00" w:cs="TT15Ct00"/>
          <w:sz w:val="24"/>
          <w:szCs w:val="24"/>
        </w:rPr>
        <w:t xml:space="preserve"> System</w:t>
      </w:r>
      <w:r>
        <w:rPr>
          <w:rFonts w:ascii="TT15Ct00" w:hAnsi="TT15Ct00" w:cs="TT15Ct00"/>
          <w:sz w:val="24"/>
          <w:szCs w:val="24"/>
        </w:rPr>
        <w:t>.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  <w:r w:rsidRPr="000B70F4">
        <w:rPr>
          <w:rFonts w:ascii="TT15Et00" w:hAnsi="TT15Et00" w:cs="TT15Et00"/>
          <w:b/>
        </w:rPr>
        <w:t>Integration Directory</w:t>
      </w:r>
      <w:r>
        <w:rPr>
          <w:rFonts w:ascii="TT15Et00" w:hAnsi="TT15Et00" w:cs="TT15Et00"/>
          <w:sz w:val="24"/>
          <w:szCs w:val="24"/>
        </w:rPr>
        <w:t xml:space="preserve"> </w:t>
      </w:r>
      <w:r>
        <w:rPr>
          <w:rFonts w:ascii="TT15Ct00" w:hAnsi="TT15Ct00" w:cs="TT15Ct00"/>
          <w:sz w:val="24"/>
          <w:szCs w:val="24"/>
        </w:rPr>
        <w:t>– Business System for ECC sender needs to be defined.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</w:p>
    <w:p w:rsidR="000B70F4" w:rsidRP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0B70F4">
        <w:rPr>
          <w:rFonts w:ascii="TT15Et00" w:hAnsi="TT15Et00" w:cs="TT15Et00"/>
          <w:b/>
        </w:rPr>
        <w:t>Business Logic behind this development</w:t>
      </w:r>
    </w:p>
    <w:p w:rsidR="000B70F4" w:rsidRP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sz w:val="28"/>
          <w:szCs w:val="28"/>
        </w:rPr>
      </w:pPr>
    </w:p>
    <w:p w:rsidR="000B70F4" w:rsidRDefault="005C4CC3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  <w:r>
        <w:rPr>
          <w:rFonts w:ascii="TT15Ct00" w:hAnsi="TT15Ct00" w:cs="TT15Ct00"/>
          <w:sz w:val="24"/>
          <w:szCs w:val="24"/>
        </w:rPr>
        <w:t xml:space="preserve">Sender file </w:t>
      </w:r>
      <w:r w:rsidR="000B70F4">
        <w:rPr>
          <w:rFonts w:ascii="TT15Ct00" w:hAnsi="TT15Ct00" w:cs="TT15Ct00"/>
          <w:sz w:val="24"/>
          <w:szCs w:val="24"/>
        </w:rPr>
        <w:t xml:space="preserve">system will </w:t>
      </w:r>
      <w:r>
        <w:rPr>
          <w:rFonts w:ascii="TT15Ct00" w:hAnsi="TT15Ct00" w:cs="TT15Ct00"/>
          <w:sz w:val="24"/>
          <w:szCs w:val="24"/>
        </w:rPr>
        <w:t>load the file</w:t>
      </w:r>
      <w:r w:rsidR="000B70F4">
        <w:rPr>
          <w:rFonts w:ascii="TT15Ct00" w:hAnsi="TT15Ct00" w:cs="TT15Ct00"/>
          <w:sz w:val="24"/>
          <w:szCs w:val="24"/>
        </w:rPr>
        <w:t xml:space="preserve"> to PI.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sz w:val="24"/>
          <w:szCs w:val="24"/>
        </w:rPr>
      </w:pPr>
      <w:r>
        <w:rPr>
          <w:rFonts w:ascii="TT15Ct00" w:hAnsi="TT15Ct00" w:cs="TT15Ct00"/>
          <w:sz w:val="24"/>
          <w:szCs w:val="24"/>
        </w:rPr>
        <w:t>PI will perform the basic transformation/mapping.</w:t>
      </w:r>
    </w:p>
    <w:p w:rsidR="007C5E80" w:rsidRDefault="000B70F4" w:rsidP="000B70F4">
      <w:pPr>
        <w:rPr>
          <w:rFonts w:ascii="TT15Ct00" w:hAnsi="TT15Ct00" w:cs="TT15Ct00"/>
          <w:sz w:val="24"/>
          <w:szCs w:val="24"/>
        </w:rPr>
      </w:pPr>
      <w:r>
        <w:rPr>
          <w:rFonts w:ascii="TT15Ct00" w:hAnsi="TT15Ct00" w:cs="TT15Ct00"/>
          <w:sz w:val="24"/>
          <w:szCs w:val="24"/>
        </w:rPr>
        <w:t xml:space="preserve">The result of mapping needs to be send to the Receiver </w:t>
      </w:r>
      <w:r w:rsidR="005C4CC3">
        <w:rPr>
          <w:rFonts w:ascii="TT15Ct00" w:hAnsi="TT15Ct00" w:cs="TT15Ct00"/>
          <w:sz w:val="24"/>
          <w:szCs w:val="24"/>
        </w:rPr>
        <w:t>ECC as IDOC</w:t>
      </w:r>
      <w:r>
        <w:rPr>
          <w:rFonts w:ascii="TT15Ct00" w:hAnsi="TT15Ct00" w:cs="TT15Ct00"/>
          <w:sz w:val="24"/>
          <w:szCs w:val="24"/>
        </w:rPr>
        <w:t>.</w:t>
      </w:r>
    </w:p>
    <w:p w:rsidR="000B70F4" w:rsidRDefault="000B70F4" w:rsidP="000B70F4">
      <w:pPr>
        <w:rPr>
          <w:rFonts w:ascii="TT15Ct00" w:hAnsi="TT15Ct00" w:cs="TT15Ct00"/>
          <w:sz w:val="24"/>
          <w:szCs w:val="24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9526F7">
        <w:rPr>
          <w:rFonts w:ascii="TT15Et00" w:hAnsi="TT15Et00" w:cs="TT15Et00"/>
          <w:b/>
        </w:rPr>
        <w:t>Design</w:t>
      </w:r>
    </w:p>
    <w:p w:rsidR="000B70F4" w:rsidRPr="009526F7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>
        <w:rPr>
          <w:rFonts w:ascii="TT15Et00" w:hAnsi="TT15Et00" w:cs="TT15Et00"/>
        </w:rPr>
        <w:t xml:space="preserve">1. </w:t>
      </w:r>
      <w:r w:rsidRPr="00845B96">
        <w:rPr>
          <w:rFonts w:ascii="TT15Et00" w:hAnsi="TT15Et00" w:cs="TT15Et00"/>
          <w:b/>
          <w:u w:val="single"/>
        </w:rPr>
        <w:t>Access to the Process Integration Tools</w:t>
      </w:r>
    </w:p>
    <w:p w:rsidR="000B70F4" w:rsidRPr="00845B96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Link provided</w:t>
      </w:r>
    </w:p>
    <w:p w:rsidR="000B70F4" w:rsidRDefault="00743927" w:rsidP="000B70F4">
      <w:pPr>
        <w:rPr>
          <w:rFonts w:ascii="TT15Ct00" w:hAnsi="TT15Ct00" w:cs="TT15Ct00"/>
        </w:rPr>
      </w:pPr>
      <w:hyperlink r:id="rId5" w:history="1">
        <w:r w:rsidR="000B70F4" w:rsidRPr="00257C4B">
          <w:rPr>
            <w:rStyle w:val="Hyperlink"/>
            <w:rFonts w:ascii="TT15Ct00" w:hAnsi="TT15Ct00" w:cs="TT15Ct00"/>
          </w:rPr>
          <w:t>http://in-mum-solman:50000/dir/start/index.jsp</w:t>
        </w:r>
      </w:hyperlink>
    </w:p>
    <w:p w:rsidR="000B70F4" w:rsidRDefault="005C4CC3" w:rsidP="000B70F4">
      <w:pPr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2857500" cy="19240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524C23">
        <w:rPr>
          <w:rFonts w:ascii="TT15Et00" w:hAnsi="TT15Et00" w:cs="TT15Et00"/>
          <w:b/>
        </w:rPr>
        <w:t xml:space="preserve">2. </w:t>
      </w:r>
      <w:r w:rsidRPr="00524C23">
        <w:rPr>
          <w:rFonts w:ascii="TT15Et00" w:hAnsi="TT15Et00" w:cs="TT15Et00"/>
          <w:b/>
          <w:u w:val="single"/>
        </w:rPr>
        <w:t xml:space="preserve">Access Enterprise Service </w:t>
      </w:r>
      <w:proofErr w:type="gramStart"/>
      <w:r w:rsidRPr="00524C23">
        <w:rPr>
          <w:rFonts w:ascii="TT15Et00" w:hAnsi="TT15Et00" w:cs="TT15Et00"/>
          <w:b/>
          <w:u w:val="single"/>
        </w:rPr>
        <w:t>Repository(</w:t>
      </w:r>
      <w:proofErr w:type="gramEnd"/>
      <w:r w:rsidRPr="00524C23">
        <w:rPr>
          <w:rFonts w:ascii="TT15Et00" w:hAnsi="TT15Et00" w:cs="TT15Et00"/>
          <w:b/>
          <w:u w:val="single"/>
        </w:rPr>
        <w:t>ESR)</w:t>
      </w:r>
    </w:p>
    <w:p w:rsidR="000B70F4" w:rsidRPr="00524C23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Click on the link Enterprise Service Builder under Enterprise Service Repository. The following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screen</w:t>
      </w:r>
      <w:proofErr w:type="gramEnd"/>
      <w:r>
        <w:rPr>
          <w:rFonts w:ascii="TT15Ct00" w:hAnsi="TT15Ct00" w:cs="TT15Ct00"/>
        </w:rPr>
        <w:t xml:space="preserve"> appears –</w:t>
      </w:r>
    </w:p>
    <w:p w:rsidR="000B70F4" w:rsidRDefault="000B70F4" w:rsidP="000B70F4">
      <w:pPr>
        <w:rPr>
          <w:rFonts w:ascii="TT15Ct00" w:hAnsi="TT15Ct00" w:cs="TT15Ct00"/>
        </w:rPr>
      </w:pPr>
    </w:p>
    <w:p w:rsidR="000B70F4" w:rsidRDefault="005C4CC3" w:rsidP="000B70F4">
      <w:r>
        <w:rPr>
          <w:noProof/>
        </w:rPr>
        <w:drawing>
          <wp:inline distT="0" distB="0" distL="0" distR="0">
            <wp:extent cx="3152775" cy="942975"/>
            <wp:effectExtent l="19050" t="0" r="952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4" w:rsidRDefault="000B70F4" w:rsidP="000B70F4">
      <w:pPr>
        <w:rPr>
          <w:rFonts w:ascii="TT15Ct00" w:hAnsi="TT15Ct00" w:cs="TT15Ct00"/>
        </w:rPr>
      </w:pPr>
      <w:r>
        <w:rPr>
          <w:rFonts w:ascii="TT15Ct00" w:hAnsi="TT15Ct00" w:cs="TT15Ct00"/>
        </w:rPr>
        <w:t>Login to PI using your user id and password.</w:t>
      </w:r>
    </w:p>
    <w:p w:rsidR="000B70F4" w:rsidRPr="009526F7" w:rsidRDefault="000B70F4" w:rsidP="000B70F4">
      <w:pPr>
        <w:rPr>
          <w:rFonts w:ascii="TT15Ct00" w:hAnsi="TT15Ct00" w:cs="TT15Ct00"/>
          <w:b/>
        </w:rPr>
      </w:pPr>
    </w:p>
    <w:p w:rsidR="000B70F4" w:rsidRDefault="000B70F4" w:rsidP="000B70F4">
      <w:pPr>
        <w:rPr>
          <w:rFonts w:ascii="TT15Et00" w:hAnsi="TT15Et00" w:cs="TT15Et00"/>
          <w:b/>
          <w:u w:val="single"/>
        </w:rPr>
      </w:pPr>
      <w:r w:rsidRPr="009526F7">
        <w:rPr>
          <w:rFonts w:ascii="TT15Et00" w:hAnsi="TT15Et00" w:cs="TT15Et00"/>
          <w:b/>
        </w:rPr>
        <w:t xml:space="preserve">3. </w:t>
      </w:r>
      <w:r w:rsidRPr="00845B96">
        <w:rPr>
          <w:rFonts w:ascii="TT15Et00" w:hAnsi="TT15Et00" w:cs="TT15Et00"/>
          <w:b/>
          <w:u w:val="single"/>
        </w:rPr>
        <w:t>Import the software component define in SLD</w:t>
      </w:r>
    </w:p>
    <w:p w:rsidR="000B70F4" w:rsidRDefault="000B70F4" w:rsidP="000B70F4">
      <w:pPr>
        <w:rPr>
          <w:rFonts w:ascii="TT15Ct00" w:hAnsi="TT15Ct00" w:cs="TT15Ct00"/>
        </w:rPr>
      </w:pPr>
      <w:r>
        <w:rPr>
          <w:rFonts w:ascii="TT15Ct00" w:hAnsi="TT15Ct00" w:cs="TT15Ct00"/>
        </w:rPr>
        <w:t>Import the following software component defined for the scenario into ESR</w:t>
      </w:r>
    </w:p>
    <w:p w:rsidR="000B70F4" w:rsidRDefault="000B70F4" w:rsidP="000B70F4">
      <w:r w:rsidRPr="00845B96">
        <w:t xml:space="preserve">CAPGEMINI_TRAINER_MASTER, 1.0 of </w:t>
      </w:r>
      <w:proofErr w:type="spellStart"/>
      <w:r w:rsidRPr="00845B96">
        <w:t>capgemini</w:t>
      </w:r>
      <w:proofErr w:type="spellEnd"/>
    </w:p>
    <w:p w:rsidR="000B70F4" w:rsidRDefault="000B70F4" w:rsidP="000B70F4">
      <w:pPr>
        <w:rPr>
          <w:rFonts w:ascii="TT15Ct00" w:hAnsi="TT15Ct00" w:cs="TT15Ct00"/>
        </w:rPr>
      </w:pPr>
      <w:r>
        <w:rPr>
          <w:rFonts w:ascii="TT15Ct00" w:hAnsi="TT15Ct00" w:cs="TT15Ct00"/>
        </w:rPr>
        <w:t>Click on new under object and select SWCV under Work Areas</w:t>
      </w:r>
    </w:p>
    <w:p w:rsidR="000B70F4" w:rsidRDefault="005C4CC3" w:rsidP="000B70F4">
      <w:r>
        <w:rPr>
          <w:noProof/>
        </w:rPr>
        <w:drawing>
          <wp:inline distT="0" distB="0" distL="0" distR="0">
            <wp:extent cx="3781425" cy="1104900"/>
            <wp:effectExtent l="19050" t="0" r="9525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Click on Display and select the required sender and receiver business system to be imported into ESR for further development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B70F4" w:rsidRDefault="005C4CC3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4562475" cy="3600450"/>
            <wp:effectExtent l="19050" t="0" r="9525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C3" w:rsidRDefault="005C4CC3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524C23">
        <w:rPr>
          <w:rFonts w:ascii="TT15Et00" w:hAnsi="TT15Et00" w:cs="TT15Et00"/>
          <w:b/>
          <w:u w:val="single"/>
        </w:rPr>
        <w:t>4. Define Namespace</w:t>
      </w:r>
    </w:p>
    <w:p w:rsidR="00FF098A" w:rsidRPr="00524C23" w:rsidRDefault="00FF098A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You Define a Namespace for you SWCV that uniquely identifies all the objects you create in Repository.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Right click software component version and select Namespace from the context.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 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Create the following namespace</w:t>
      </w:r>
    </w:p>
    <w:p w:rsidR="000B70F4" w:rsidRDefault="000B70F4" w:rsidP="000B70F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B70F4" w:rsidRDefault="000B70F4" w:rsidP="000B70F4">
      <w:pPr>
        <w:rPr>
          <w:rFonts w:ascii="Arial Narrow" w:hAnsi="Arial Narrow"/>
        </w:rPr>
      </w:pPr>
      <w:proofErr w:type="spellStart"/>
      <w:proofErr w:type="gramStart"/>
      <w:r w:rsidRPr="000B70F4">
        <w:rPr>
          <w:rFonts w:ascii="Arial Narrow" w:hAnsi="Arial Narrow"/>
        </w:rPr>
        <w:t>urn:</w:t>
      </w:r>
      <w:proofErr w:type="gramEnd"/>
      <w:r w:rsidRPr="000B70F4">
        <w:rPr>
          <w:rFonts w:ascii="Arial Narrow" w:hAnsi="Arial Narrow"/>
        </w:rPr>
        <w:t>sampleFile_IDOC</w:t>
      </w:r>
      <w:proofErr w:type="spellEnd"/>
      <w:r w:rsidR="005C4CC3">
        <w:rPr>
          <w:rFonts w:ascii="Arial Narrow" w:hAnsi="Arial Narrow"/>
        </w:rPr>
        <w:t>_&lt;&lt;</w:t>
      </w:r>
      <w:r w:rsidR="005C4CC3" w:rsidRPr="005C4CC3">
        <w:rPr>
          <w:rFonts w:ascii="Arial Narrow" w:hAnsi="Arial Narrow"/>
          <w:b/>
        </w:rPr>
        <w:t>last three digit of employee ID&gt;&gt;</w:t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After creating and saving it appears like –</w:t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5017770" cy="1021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Pr="0009520B" w:rsidRDefault="0009520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u w:val="single"/>
        </w:rPr>
      </w:pPr>
    </w:p>
    <w:p w:rsidR="0009520B" w:rsidRDefault="0009520B" w:rsidP="000D62B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09520B">
        <w:rPr>
          <w:rFonts w:ascii="TT15Et00" w:hAnsi="TT15Et00" w:cs="TT15Et00"/>
          <w:b/>
          <w:u w:val="single"/>
        </w:rPr>
        <w:t xml:space="preserve">5. Import </w:t>
      </w:r>
      <w:proofErr w:type="spellStart"/>
      <w:r w:rsidRPr="0009520B">
        <w:rPr>
          <w:rFonts w:ascii="TT15Et00" w:hAnsi="TT15Et00" w:cs="TT15Et00"/>
          <w:b/>
          <w:u w:val="single"/>
        </w:rPr>
        <w:t>IDoc</w:t>
      </w:r>
      <w:proofErr w:type="spellEnd"/>
    </w:p>
    <w:p w:rsidR="0009520B" w:rsidRDefault="0009520B" w:rsidP="000D62B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09520B" w:rsidRDefault="0009520B" w:rsidP="000D62B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 w:rsidRPr="0009520B">
        <w:rPr>
          <w:rFonts w:ascii="TT15Et00" w:hAnsi="TT15Et00" w:cs="TT15Et00"/>
          <w:b/>
        </w:rPr>
        <w:t>Note :</w:t>
      </w:r>
      <w:proofErr w:type="gramEnd"/>
      <w:r>
        <w:rPr>
          <w:rFonts w:ascii="TT15Et00" w:hAnsi="TT15Et00" w:cs="TT15Et00"/>
        </w:rPr>
        <w:t xml:space="preserve"> </w:t>
      </w:r>
      <w:r>
        <w:rPr>
          <w:rFonts w:ascii="TT15Ct00" w:hAnsi="TT15Ct00" w:cs="TT15Ct00"/>
        </w:rPr>
        <w:t xml:space="preserve">For Scenarios involving </w:t>
      </w:r>
      <w:proofErr w:type="spellStart"/>
      <w:r>
        <w:rPr>
          <w:rFonts w:ascii="TT15Ct00" w:hAnsi="TT15Ct00" w:cs="TT15Ct00"/>
        </w:rPr>
        <w:t>Idoc</w:t>
      </w:r>
      <w:proofErr w:type="spellEnd"/>
      <w:r>
        <w:rPr>
          <w:rFonts w:ascii="TT15Ct00" w:hAnsi="TT15Ct00" w:cs="TT15Ct00"/>
        </w:rPr>
        <w:t xml:space="preserve"> on sender/receiver , no need to define Data Type, Message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type</w:t>
      </w:r>
      <w:proofErr w:type="gramEnd"/>
      <w:r>
        <w:rPr>
          <w:rFonts w:ascii="TT15Ct00" w:hAnsi="TT15Ct00" w:cs="TT15Ct00"/>
        </w:rPr>
        <w:t xml:space="preserve"> and service Interface. Just need to import the </w:t>
      </w:r>
      <w:proofErr w:type="spellStart"/>
      <w:r>
        <w:rPr>
          <w:rFonts w:ascii="TT15Ct00" w:hAnsi="TT15Ct00" w:cs="TT15Ct00"/>
        </w:rPr>
        <w:t>IDoc</w:t>
      </w:r>
      <w:proofErr w:type="spellEnd"/>
      <w:r>
        <w:rPr>
          <w:rFonts w:ascii="TT15Ct00" w:hAnsi="TT15Ct00" w:cs="TT15Ct00"/>
        </w:rPr>
        <w:t xml:space="preserve"> for ECC server and use it in place of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message</w:t>
      </w:r>
      <w:proofErr w:type="gramEnd"/>
      <w:r>
        <w:rPr>
          <w:rFonts w:ascii="TT15Ct00" w:hAnsi="TT15Ct00" w:cs="TT15Ct00"/>
        </w:rPr>
        <w:t xml:space="preserve"> type and service interface.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Import the required </w:t>
      </w:r>
      <w:proofErr w:type="spellStart"/>
      <w:r>
        <w:rPr>
          <w:rFonts w:ascii="TT15Ct00" w:hAnsi="TT15Ct00" w:cs="TT15Ct00"/>
        </w:rPr>
        <w:t>IDoc</w:t>
      </w:r>
      <w:proofErr w:type="spellEnd"/>
      <w:r>
        <w:rPr>
          <w:rFonts w:ascii="TT15Ct00" w:hAnsi="TT15Ct00" w:cs="TT15Ct00"/>
        </w:rPr>
        <w:t xml:space="preserve"> into ESR under the software component defined for ECC system as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below</w:t>
      </w:r>
      <w:proofErr w:type="gramEnd"/>
      <w:r>
        <w:rPr>
          <w:rFonts w:ascii="TT15Ct00" w:hAnsi="TT15Ct00" w:cs="TT15Ct00"/>
        </w:rPr>
        <w:t xml:space="preserve"> –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  <w:r>
        <w:rPr>
          <w:rFonts w:ascii="TT15Ct00" w:hAnsi="TT15Ct00" w:cs="TT15Ct00"/>
          <w:b/>
          <w:noProof/>
          <w:u w:val="single"/>
        </w:rPr>
        <w:drawing>
          <wp:inline distT="0" distB="0" distL="0" distR="0">
            <wp:extent cx="6000750" cy="312039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1" cy="312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Select the</w:t>
      </w:r>
      <w:r w:rsidR="005C4CC3">
        <w:rPr>
          <w:rFonts w:ascii="TT15Ct00" w:hAnsi="TT15Ct00" w:cs="TT15Ct00"/>
        </w:rPr>
        <w:t xml:space="preserve"> </w:t>
      </w:r>
      <w:r w:rsidR="005C4CC3" w:rsidRPr="005C4CC3">
        <w:rPr>
          <w:rFonts w:ascii="TT15Ct00" w:hAnsi="TT15Ct00" w:cs="TT15Ct00"/>
          <w:b/>
        </w:rPr>
        <w:t>correct</w:t>
      </w:r>
      <w:r>
        <w:rPr>
          <w:rFonts w:ascii="TT15Ct00" w:hAnsi="TT15Ct00" w:cs="TT15Ct00"/>
        </w:rPr>
        <w:t xml:space="preserve"> </w:t>
      </w:r>
      <w:proofErr w:type="spellStart"/>
      <w:r>
        <w:rPr>
          <w:rFonts w:ascii="TT15Ct00" w:hAnsi="TT15Ct00" w:cs="TT15Ct00"/>
        </w:rPr>
        <w:t>Idoc</w:t>
      </w:r>
      <w:proofErr w:type="spellEnd"/>
      <w:r>
        <w:rPr>
          <w:rFonts w:ascii="TT15Ct00" w:hAnsi="TT15Ct00" w:cs="TT15Ct00"/>
        </w:rPr>
        <w:t xml:space="preserve"> required and continue as under –</w:t>
      </w:r>
    </w:p>
    <w:p w:rsidR="00FF098A" w:rsidRP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Arial Narrow" w:hAnsi="Arial Narrow" w:cs="TT15Ct00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  <w:r>
        <w:rPr>
          <w:rFonts w:ascii="TT15Ct00" w:hAnsi="TT15Ct00" w:cs="TT15Ct00"/>
          <w:b/>
          <w:noProof/>
          <w:u w:val="single"/>
        </w:rPr>
        <w:drawing>
          <wp:inline distT="0" distB="0" distL="0" distR="0">
            <wp:extent cx="5368290" cy="252984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32" cy="253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  <w:r>
        <w:rPr>
          <w:rFonts w:ascii="TT15Ct00" w:hAnsi="TT15Ct00" w:cs="TT15Ct00"/>
        </w:rPr>
        <w:t xml:space="preserve">Once the </w:t>
      </w:r>
      <w:proofErr w:type="spellStart"/>
      <w:r>
        <w:rPr>
          <w:rFonts w:ascii="TT15Ct00" w:hAnsi="TT15Ct00" w:cs="TT15Ct00"/>
        </w:rPr>
        <w:t>Idoc</w:t>
      </w:r>
      <w:proofErr w:type="spellEnd"/>
      <w:r>
        <w:rPr>
          <w:rFonts w:ascii="TT15Ct00" w:hAnsi="TT15Ct00" w:cs="TT15Ct00"/>
        </w:rPr>
        <w:t xml:space="preserve"> is successfully imported, activate the same and it appear as below in ESR-</w:t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  <w:r>
        <w:rPr>
          <w:rFonts w:ascii="TT15Ct00" w:hAnsi="TT15Ct00" w:cs="TT15Ct00"/>
          <w:b/>
          <w:noProof/>
          <w:u w:val="single"/>
        </w:rPr>
        <w:drawing>
          <wp:inline distT="0" distB="0" distL="0" distR="0">
            <wp:extent cx="5208270" cy="952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11" cy="95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FF098A" w:rsidRPr="0009520B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D62BB" w:rsidRPr="00524C23" w:rsidRDefault="00FF098A" w:rsidP="000D62B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>
        <w:rPr>
          <w:rFonts w:ascii="TT15Et00" w:hAnsi="TT15Et00" w:cs="TT15Et00"/>
          <w:b/>
          <w:u w:val="single"/>
        </w:rPr>
        <w:t>6</w:t>
      </w:r>
      <w:r w:rsidR="000D62BB" w:rsidRPr="00524C23">
        <w:rPr>
          <w:rFonts w:ascii="TT15Et00" w:hAnsi="TT15Et00" w:cs="TT15Et00"/>
          <w:b/>
          <w:u w:val="single"/>
        </w:rPr>
        <w:t>. Define Data Type</w:t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ind w:left="270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1. Date </w:t>
      </w:r>
      <w:proofErr w:type="gramStart"/>
      <w:r>
        <w:rPr>
          <w:rFonts w:ascii="TT15Ct00" w:hAnsi="TT15Ct00" w:cs="TT15Ct00"/>
        </w:rPr>
        <w:t>type(</w:t>
      </w:r>
      <w:proofErr w:type="spellStart"/>
      <w:proofErr w:type="gramEnd"/>
      <w:r>
        <w:rPr>
          <w:rFonts w:ascii="TT15Ct00" w:hAnsi="TT15Ct00" w:cs="TT15Ct00"/>
        </w:rPr>
        <w:t>DT_File_Sender</w:t>
      </w:r>
      <w:proofErr w:type="spellEnd"/>
      <w:r>
        <w:rPr>
          <w:rFonts w:ascii="TT15Ct00" w:hAnsi="TT15Ct00" w:cs="TT15Ct00"/>
        </w:rPr>
        <w:t>_&lt;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 for Sender System (</w:t>
      </w:r>
      <w:proofErr w:type="spellStart"/>
      <w:r>
        <w:rPr>
          <w:rFonts w:ascii="TT15Ct00" w:hAnsi="TT15Ct00" w:cs="TT15Ct00"/>
        </w:rPr>
        <w:t>FileSystemA</w:t>
      </w:r>
      <w:proofErr w:type="spellEnd"/>
      <w:r>
        <w:rPr>
          <w:rFonts w:ascii="TT15Ct00" w:hAnsi="TT15Ct00" w:cs="TT15Ct00"/>
        </w:rPr>
        <w:t>)</w:t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ind w:left="270"/>
        <w:rPr>
          <w:rFonts w:ascii="Arial Narrow" w:hAnsi="Arial Narrow" w:cs="TT15Ct00"/>
          <w:sz w:val="24"/>
          <w:szCs w:val="24"/>
        </w:rPr>
      </w:pPr>
      <w:r>
        <w:rPr>
          <w:rFonts w:ascii="TT15Ct00" w:hAnsi="TT15Ct00" w:cs="TT15Ct00"/>
        </w:rPr>
        <w:t xml:space="preserve">2. Date </w:t>
      </w:r>
      <w:proofErr w:type="gramStart"/>
      <w:r>
        <w:rPr>
          <w:rFonts w:ascii="TT15Ct00" w:hAnsi="TT15Ct00" w:cs="TT15Ct00"/>
        </w:rPr>
        <w:t>type(</w:t>
      </w:r>
      <w:proofErr w:type="spellStart"/>
      <w:proofErr w:type="gramEnd"/>
      <w:r>
        <w:rPr>
          <w:rFonts w:ascii="TT15Ct00" w:hAnsi="TT15Ct00" w:cs="TT15Ct00"/>
        </w:rPr>
        <w:t>DT_File_Receiver</w:t>
      </w:r>
      <w:proofErr w:type="spellEnd"/>
      <w:r>
        <w:rPr>
          <w:rFonts w:ascii="TT15Ct00" w:hAnsi="TT15Ct00" w:cs="TT15Ct00"/>
        </w:rPr>
        <w:t xml:space="preserve">_&lt; 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Dt00" w:hAnsi="TT15Dt00" w:cs="TT15Dt00"/>
        </w:rPr>
        <w:t xml:space="preserve"> </w:t>
      </w:r>
      <w:r>
        <w:rPr>
          <w:rFonts w:ascii="TT15Ct00" w:hAnsi="TT15Ct00" w:cs="TT15Ct00"/>
        </w:rPr>
        <w:t>&gt;) for Receiver System (</w:t>
      </w:r>
      <w:proofErr w:type="spellStart"/>
      <w:r>
        <w:rPr>
          <w:rFonts w:ascii="TT15Ct00" w:hAnsi="TT15Ct00" w:cs="TT15Ct00"/>
        </w:rPr>
        <w:t>FileSystemB</w:t>
      </w:r>
      <w:proofErr w:type="spellEnd"/>
      <w:r>
        <w:rPr>
          <w:rFonts w:ascii="TT15Ct00" w:hAnsi="TT15Ct00" w:cs="TT15Ct00"/>
        </w:rPr>
        <w:t>)</w:t>
      </w: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D62BB" w:rsidRDefault="000D62BB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Create data types with required structure and type of elements as shown below. </w:t>
      </w:r>
    </w:p>
    <w:p w:rsidR="00466A98" w:rsidRDefault="00466A98" w:rsidP="000D62B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D62BB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2971800" cy="2533650"/>
            <wp:effectExtent l="1905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0B" w:rsidRPr="00524C23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>
        <w:rPr>
          <w:rFonts w:ascii="TT15Et00" w:hAnsi="TT15Et00" w:cs="TT15Et00"/>
          <w:b/>
          <w:u w:val="single"/>
        </w:rPr>
        <w:t>7</w:t>
      </w:r>
      <w:r w:rsidR="0009520B" w:rsidRPr="00524C23">
        <w:rPr>
          <w:rFonts w:ascii="TT15Et00" w:hAnsi="TT15Et00" w:cs="TT15Et00"/>
          <w:b/>
          <w:u w:val="single"/>
        </w:rPr>
        <w:t>. Define Message Type</w:t>
      </w:r>
    </w:p>
    <w:p w:rsidR="0009520B" w:rsidRPr="00A671EA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1. Message </w:t>
      </w:r>
      <w:proofErr w:type="gramStart"/>
      <w:r>
        <w:rPr>
          <w:rFonts w:ascii="TT15Ct00" w:hAnsi="TT15Ct00" w:cs="TT15Ct00"/>
        </w:rPr>
        <w:t>type(</w:t>
      </w:r>
      <w:proofErr w:type="spellStart"/>
      <w:proofErr w:type="gramEnd"/>
      <w:r>
        <w:rPr>
          <w:rFonts w:ascii="TT15Ct00" w:hAnsi="TT15Ct00" w:cs="TT15Ct00"/>
        </w:rPr>
        <w:t>MT_File_Sender</w:t>
      </w:r>
      <w:proofErr w:type="spellEnd"/>
      <w:r>
        <w:rPr>
          <w:rFonts w:ascii="TT15Ct00" w:hAnsi="TT15Ct00" w:cs="TT15Ct00"/>
        </w:rPr>
        <w:t>_&lt;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 for Sender System (</w:t>
      </w:r>
      <w:proofErr w:type="spellStart"/>
      <w:r>
        <w:rPr>
          <w:rFonts w:ascii="TT15Ct00" w:hAnsi="TT15Ct00" w:cs="TT15Ct00"/>
        </w:rPr>
        <w:t>FileSystemA</w:t>
      </w:r>
      <w:proofErr w:type="spellEnd"/>
      <w:r>
        <w:rPr>
          <w:rFonts w:ascii="TT15Ct00" w:hAnsi="TT15Ct00" w:cs="TT15Ct00"/>
        </w:rPr>
        <w:t>).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2. Message </w:t>
      </w:r>
      <w:proofErr w:type="gramStart"/>
      <w:r>
        <w:rPr>
          <w:rFonts w:ascii="TT15Ct00" w:hAnsi="TT15Ct00" w:cs="TT15Ct00"/>
        </w:rPr>
        <w:t>type(</w:t>
      </w:r>
      <w:proofErr w:type="spellStart"/>
      <w:proofErr w:type="gramEnd"/>
      <w:r>
        <w:rPr>
          <w:rFonts w:ascii="TT15Ct00" w:hAnsi="TT15Ct00" w:cs="TT15Ct00"/>
        </w:rPr>
        <w:t>MT_File</w:t>
      </w:r>
      <w:proofErr w:type="spellEnd"/>
      <w:r>
        <w:rPr>
          <w:rFonts w:ascii="TT15Ct00" w:hAnsi="TT15Ct00" w:cs="TT15Ct00"/>
        </w:rPr>
        <w:t xml:space="preserve">_ Receiver_&lt; 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Dt00" w:hAnsi="TT15Dt00" w:cs="TT15Dt00"/>
        </w:rPr>
        <w:t xml:space="preserve"> </w:t>
      </w:r>
      <w:r>
        <w:rPr>
          <w:rFonts w:ascii="TT15Ct00" w:hAnsi="TT15Ct00" w:cs="TT15Ct00"/>
        </w:rPr>
        <w:t>&gt;) for Receiver System (</w:t>
      </w:r>
      <w:proofErr w:type="spellStart"/>
      <w:r>
        <w:rPr>
          <w:rFonts w:ascii="TT15Ct00" w:hAnsi="TT15Ct00" w:cs="TT15Ct00"/>
        </w:rPr>
        <w:t>FileSystemB</w:t>
      </w:r>
      <w:proofErr w:type="spellEnd"/>
      <w:r>
        <w:rPr>
          <w:rFonts w:ascii="TT15Ct00" w:hAnsi="TT15Ct00" w:cs="TT15Ct00"/>
        </w:rPr>
        <w:t>)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Select the Data type (created in the previous step</w:t>
      </w:r>
      <w:proofErr w:type="gramStart"/>
      <w:r>
        <w:rPr>
          <w:rFonts w:ascii="TT15Ct00" w:hAnsi="TT15Ct00" w:cs="TT15Ct00"/>
        </w:rPr>
        <w:t>)for</w:t>
      </w:r>
      <w:proofErr w:type="gramEnd"/>
      <w:r>
        <w:rPr>
          <w:rFonts w:ascii="TT15Ct00" w:hAnsi="TT15Ct00" w:cs="TT15Ct00"/>
        </w:rPr>
        <w:t xml:space="preserve"> the message type. The Namespace automatically gets populated. This is the message type for sender system. Save after completing.</w:t>
      </w: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4076700" cy="2400300"/>
            <wp:effectExtent l="19050" t="0" r="0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Pr="00524C23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>
        <w:rPr>
          <w:rFonts w:ascii="TT15Et00" w:hAnsi="TT15Et00" w:cs="TT15Et00"/>
          <w:b/>
          <w:u w:val="single"/>
        </w:rPr>
        <w:t>8</w:t>
      </w:r>
      <w:r w:rsidR="0009520B" w:rsidRPr="00524C23">
        <w:rPr>
          <w:rFonts w:ascii="TT15Et00" w:hAnsi="TT15Et00" w:cs="TT15Et00"/>
          <w:b/>
          <w:u w:val="single"/>
        </w:rPr>
        <w:t>. Create Service Interfaces</w:t>
      </w:r>
    </w:p>
    <w:p w:rsidR="0009520B" w:rsidRPr="008B0A49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1. Service </w:t>
      </w:r>
      <w:proofErr w:type="gramStart"/>
      <w:r>
        <w:rPr>
          <w:rFonts w:ascii="TT15Ct00" w:hAnsi="TT15Ct00" w:cs="TT15Ct00"/>
        </w:rPr>
        <w:t>Interface(</w:t>
      </w:r>
      <w:proofErr w:type="spellStart"/>
      <w:proofErr w:type="gramEnd"/>
      <w:r>
        <w:rPr>
          <w:rFonts w:ascii="TT15Ct00" w:hAnsi="TT15Ct00" w:cs="TT15Ct00"/>
        </w:rPr>
        <w:t>SI_File_Sender_Out</w:t>
      </w:r>
      <w:proofErr w:type="spellEnd"/>
      <w:r>
        <w:rPr>
          <w:rFonts w:ascii="TT15Ct00" w:hAnsi="TT15Ct00" w:cs="TT15Ct00"/>
        </w:rPr>
        <w:t xml:space="preserve">_&lt; 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 ) for Sender System (</w:t>
      </w:r>
      <w:proofErr w:type="spellStart"/>
      <w:r>
        <w:rPr>
          <w:rFonts w:ascii="TT15Ct00" w:hAnsi="TT15Ct00" w:cs="TT15Ct00"/>
        </w:rPr>
        <w:t>FileSystemA</w:t>
      </w:r>
      <w:proofErr w:type="spellEnd"/>
      <w:r>
        <w:rPr>
          <w:rFonts w:ascii="TT15Ct00" w:hAnsi="TT15Ct00" w:cs="TT15Ct00"/>
        </w:rPr>
        <w:t>).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2. Service </w:t>
      </w:r>
      <w:proofErr w:type="gramStart"/>
      <w:r>
        <w:rPr>
          <w:rFonts w:ascii="TT15Ct00" w:hAnsi="TT15Ct00" w:cs="TT15Ct00"/>
        </w:rPr>
        <w:t>Interface(</w:t>
      </w:r>
      <w:proofErr w:type="spellStart"/>
      <w:proofErr w:type="gramEnd"/>
      <w:r>
        <w:rPr>
          <w:rFonts w:ascii="TT15Ct00" w:hAnsi="TT15Ct00" w:cs="TT15Ct00"/>
        </w:rPr>
        <w:t>SI_File_Receiver_In</w:t>
      </w:r>
      <w:proofErr w:type="spellEnd"/>
      <w:r>
        <w:rPr>
          <w:rFonts w:ascii="TT15Ct00" w:hAnsi="TT15Ct00" w:cs="TT15Ct00"/>
        </w:rPr>
        <w:t xml:space="preserve">_&lt; 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 ) for Sender System (</w:t>
      </w:r>
      <w:proofErr w:type="spellStart"/>
      <w:r>
        <w:rPr>
          <w:rFonts w:ascii="TT15Ct00" w:hAnsi="TT15Ct00" w:cs="TT15Ct00"/>
        </w:rPr>
        <w:t>FileSystemB</w:t>
      </w:r>
      <w:proofErr w:type="spellEnd"/>
      <w:r>
        <w:rPr>
          <w:rFonts w:ascii="TT15Ct00" w:hAnsi="TT15Ct00" w:cs="TT15Ct00"/>
        </w:rPr>
        <w:t>).</w:t>
      </w: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09520B" w:rsidP="0009520B">
      <w:pPr>
        <w:ind w:left="-180"/>
        <w:rPr>
          <w:rFonts w:ascii="Arial Narrow" w:hAnsi="Arial Narrow"/>
        </w:rPr>
      </w:pPr>
    </w:p>
    <w:p w:rsidR="0009520B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934075" cy="2714625"/>
            <wp:effectExtent l="19050" t="0" r="9525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This is the service interface for the sender system. Save after completing</w:t>
      </w: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Pr="00524C23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09520B" w:rsidRPr="00524C23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>
        <w:rPr>
          <w:rFonts w:ascii="TT15Et00" w:hAnsi="TT15Et00" w:cs="TT15Et00"/>
          <w:b/>
          <w:u w:val="single"/>
        </w:rPr>
        <w:t>9</w:t>
      </w:r>
      <w:r w:rsidR="0009520B" w:rsidRPr="00524C23">
        <w:rPr>
          <w:rFonts w:ascii="TT15Et00" w:hAnsi="TT15Et00" w:cs="TT15Et00"/>
          <w:b/>
          <w:u w:val="single"/>
        </w:rPr>
        <w:t>. Create the Message Mapping</w:t>
      </w:r>
    </w:p>
    <w:p w:rsidR="0009520B" w:rsidRPr="008B0A49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09520B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Create a new Message mapping </w:t>
      </w:r>
      <w:proofErr w:type="spellStart"/>
      <w:r>
        <w:rPr>
          <w:rFonts w:ascii="TT15Ct00" w:hAnsi="TT15Ct00" w:cs="TT15Ct00"/>
        </w:rPr>
        <w:t>MM_Idoc_FileA</w:t>
      </w:r>
      <w:proofErr w:type="spellEnd"/>
      <w:r>
        <w:rPr>
          <w:rFonts w:ascii="TT15Ct00" w:hAnsi="TT15Ct00" w:cs="TT15Ct00"/>
        </w:rPr>
        <w:t>_&lt;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</w:t>
      </w: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The mapping in this scenario is one-to-one. The names of the source field and target fields are identical. To perform a mapping, drag the source fields and drop on the target field. The mapping would be displayed in the graphical display.</w:t>
      </w: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540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6672953" cy="379476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53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540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6793230" cy="3870960"/>
            <wp:effectExtent l="19050" t="0" r="762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3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You can test you mapping by going to test Tab. You can select either of the two buttons from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the</w:t>
      </w:r>
      <w:proofErr w:type="gramEnd"/>
      <w:r>
        <w:rPr>
          <w:rFonts w:ascii="TT15Ct00" w:hAnsi="TT15Ct00" w:cs="TT15Ct00"/>
        </w:rPr>
        <w:t xml:space="preserve"> tool bar to test your scenario.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1. </w:t>
      </w:r>
      <w:r>
        <w:rPr>
          <w:rFonts w:ascii="TT15Et00" w:hAnsi="TT15Et00" w:cs="TT15Et00"/>
        </w:rPr>
        <w:t xml:space="preserve">Load XM Instance </w:t>
      </w:r>
      <w:r>
        <w:rPr>
          <w:rFonts w:ascii="TT15Ct00" w:hAnsi="TT15Ct00" w:cs="TT15Ct00"/>
        </w:rPr>
        <w:t>– load an XML file that contains your test data.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2. </w:t>
      </w:r>
      <w:r>
        <w:rPr>
          <w:rFonts w:ascii="TT15Et00" w:hAnsi="TT15Et00" w:cs="TT15Et00"/>
        </w:rPr>
        <w:t xml:space="preserve">Generate Instance </w:t>
      </w:r>
      <w:r>
        <w:rPr>
          <w:rFonts w:ascii="TT15Ct00" w:hAnsi="TT15Ct00" w:cs="TT15Ct00"/>
        </w:rPr>
        <w:t>– By specifying the value manually.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Now you can test the scenario by clicking the Execute Mapping.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5C4CC3" w:rsidP="00844DDA">
      <w:pPr>
        <w:autoSpaceDE w:val="0"/>
        <w:autoSpaceDN w:val="0"/>
        <w:adjustRightInd w:val="0"/>
        <w:spacing w:after="0" w:line="240" w:lineRule="auto"/>
        <w:ind w:left="-360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5762625" cy="2733675"/>
            <wp:effectExtent l="19050" t="0" r="9525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C3" w:rsidRDefault="005C4CC3" w:rsidP="00844DDA">
      <w:pPr>
        <w:autoSpaceDE w:val="0"/>
        <w:autoSpaceDN w:val="0"/>
        <w:adjustRightInd w:val="0"/>
        <w:spacing w:after="0" w:line="240" w:lineRule="auto"/>
        <w:ind w:left="-360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360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844DDA">
        <w:rPr>
          <w:rFonts w:ascii="TT15Et00" w:hAnsi="TT15Et00" w:cs="TT15Et00"/>
          <w:b/>
          <w:u w:val="single"/>
        </w:rPr>
        <w:t>10. Create the Operation Mapping</w:t>
      </w:r>
    </w:p>
    <w:p w:rsidR="00844DDA" w:rsidRP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In the operation mapping, Select the source interface as “</w:t>
      </w:r>
      <w:proofErr w:type="spellStart"/>
      <w:r w:rsidRPr="00844DDA">
        <w:rPr>
          <w:rFonts w:ascii="TT15Ct00" w:hAnsi="TT15Ct00" w:cs="TT15Ct00"/>
        </w:rPr>
        <w:t>SI_vendor_details_out_asyn</w:t>
      </w:r>
      <w:proofErr w:type="spellEnd"/>
      <w:r>
        <w:rPr>
          <w:rFonts w:ascii="TT15Ct00" w:hAnsi="TT15Ct00" w:cs="TT15Ct00"/>
        </w:rPr>
        <w:t>” and target interface as “</w:t>
      </w:r>
      <w:proofErr w:type="gramStart"/>
      <w:r w:rsidRPr="00844DDA">
        <w:rPr>
          <w:rFonts w:ascii="TT15Ct00" w:hAnsi="TT15Ct00" w:cs="TT15Ct00"/>
        </w:rPr>
        <w:t>CREMAS.CREMAS05</w:t>
      </w:r>
      <w:r>
        <w:rPr>
          <w:rFonts w:ascii="TT15Ct00" w:hAnsi="TT15Ct00" w:cs="TT15Ct00"/>
        </w:rPr>
        <w:t xml:space="preserve"> ”</w:t>
      </w:r>
      <w:proofErr w:type="gramEnd"/>
      <w:r>
        <w:rPr>
          <w:rFonts w:ascii="TT15Ct00" w:hAnsi="TT15Ct00" w:cs="TT15Ct00"/>
        </w:rPr>
        <w:t>. Click on the Read Interfaces tab and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source/target</w:t>
      </w:r>
      <w:proofErr w:type="gramEnd"/>
      <w:r>
        <w:rPr>
          <w:rFonts w:ascii="TT15Ct00" w:hAnsi="TT15Ct00" w:cs="TT15Ct00"/>
        </w:rPr>
        <w:t xml:space="preserve"> message types automatically get populated.</w:t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360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      Select the message mapping as “</w:t>
      </w:r>
      <w:proofErr w:type="spellStart"/>
      <w:r>
        <w:rPr>
          <w:rFonts w:ascii="TT15Ct00" w:hAnsi="TT15Ct00" w:cs="TT15Ct00"/>
        </w:rPr>
        <w:t>MM_Idoc_FileA</w:t>
      </w:r>
      <w:proofErr w:type="spellEnd"/>
      <w:r>
        <w:rPr>
          <w:rFonts w:ascii="TT15Ct00" w:hAnsi="TT15Ct00" w:cs="TT15Ct00"/>
        </w:rPr>
        <w:t>_&lt;</w:t>
      </w:r>
      <w:r>
        <w:rPr>
          <w:rFonts w:ascii="TT15Dt00" w:hAnsi="TT15Dt00" w:cs="TT15Dt00"/>
        </w:rPr>
        <w:t>Name/</w:t>
      </w:r>
      <w:proofErr w:type="spellStart"/>
      <w:r>
        <w:rPr>
          <w:rFonts w:ascii="TT15Dt00" w:hAnsi="TT15Dt00" w:cs="TT15Dt00"/>
        </w:rPr>
        <w:t>EmpNo</w:t>
      </w:r>
      <w:proofErr w:type="spellEnd"/>
      <w:r>
        <w:rPr>
          <w:rFonts w:ascii="TT15Ct00" w:hAnsi="TT15Ct00" w:cs="TT15Ct00"/>
        </w:rPr>
        <w:t>&gt; “</w:t>
      </w:r>
    </w:p>
    <w:p w:rsidR="00FF098A" w:rsidRDefault="00FF098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844DDA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844DDA" w:rsidRDefault="005C4CC3" w:rsidP="00844DDA">
      <w:pPr>
        <w:autoSpaceDE w:val="0"/>
        <w:autoSpaceDN w:val="0"/>
        <w:adjustRightInd w:val="0"/>
        <w:spacing w:after="0" w:line="240" w:lineRule="auto"/>
        <w:ind w:left="-450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5943600" cy="2400300"/>
            <wp:effectExtent l="1905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450"/>
        <w:rPr>
          <w:rFonts w:ascii="TT15Ct00" w:hAnsi="TT15Ct00" w:cs="TT15Ct00"/>
        </w:rPr>
      </w:pPr>
    </w:p>
    <w:p w:rsidR="005C4CC3" w:rsidRDefault="005C4CC3" w:rsidP="00844DDA">
      <w:pPr>
        <w:autoSpaceDE w:val="0"/>
        <w:autoSpaceDN w:val="0"/>
        <w:adjustRightInd w:val="0"/>
        <w:spacing w:after="0" w:line="240" w:lineRule="auto"/>
        <w:ind w:left="-450"/>
        <w:rPr>
          <w:rFonts w:ascii="TT15Ct00" w:hAnsi="TT15Ct00" w:cs="TT15Ct00"/>
        </w:rPr>
      </w:pP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450"/>
        <w:rPr>
          <w:rFonts w:ascii="TT15Ct00" w:hAnsi="TT15Ct00" w:cs="TT15Ct00"/>
        </w:rPr>
      </w:pPr>
    </w:p>
    <w:p w:rsidR="00A82864" w:rsidRPr="00524C23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sz w:val="28"/>
          <w:szCs w:val="28"/>
        </w:rPr>
      </w:pPr>
      <w:r w:rsidRPr="00524C23">
        <w:rPr>
          <w:rFonts w:ascii="TT15Et00" w:hAnsi="TT15Et00" w:cs="TT15Et00"/>
          <w:b/>
          <w:sz w:val="28"/>
          <w:szCs w:val="28"/>
        </w:rPr>
        <w:t>Configuration</w:t>
      </w:r>
    </w:p>
    <w:p w:rsidR="00A82864" w:rsidRPr="00524C23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sz w:val="28"/>
          <w:szCs w:val="28"/>
        </w:rPr>
      </w:pPr>
    </w:p>
    <w:p w:rsidR="00A82864" w:rsidRPr="00524C23" w:rsidRDefault="00A82864" w:rsidP="00A828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524C23">
        <w:rPr>
          <w:rFonts w:ascii="TT15Et00" w:hAnsi="TT15Et00" w:cs="TT15Et00"/>
          <w:b/>
          <w:u w:val="single"/>
        </w:rPr>
        <w:t>Access to the Process Integration Tools</w:t>
      </w:r>
    </w:p>
    <w:p w:rsidR="00A82864" w:rsidRPr="00524C23" w:rsidRDefault="00A82864" w:rsidP="00A82864">
      <w:pPr>
        <w:pStyle w:val="ListParagraph"/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Link provided.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743927" w:rsidP="00A82864">
      <w:pPr>
        <w:rPr>
          <w:rFonts w:ascii="TT15Ct00" w:hAnsi="TT15Ct00" w:cs="TT15Ct00"/>
        </w:rPr>
      </w:pPr>
      <w:hyperlink r:id="rId21" w:history="1">
        <w:r w:rsidR="00A82864" w:rsidRPr="00257C4B">
          <w:rPr>
            <w:rStyle w:val="Hyperlink"/>
            <w:rFonts w:ascii="TT15Ct00" w:hAnsi="TT15Ct00" w:cs="TT15Ct00"/>
          </w:rPr>
          <w:t>http://in-mum-solman:50000/dir/start/index.jsp</w:t>
        </w:r>
      </w:hyperlink>
    </w:p>
    <w:p w:rsidR="00A82864" w:rsidRPr="00524C23" w:rsidRDefault="00A82864" w:rsidP="00A82864">
      <w:pPr>
        <w:pStyle w:val="ListParagraph"/>
        <w:numPr>
          <w:ilvl w:val="0"/>
          <w:numId w:val="2"/>
        </w:numPr>
        <w:rPr>
          <w:rFonts w:ascii="TT15Et00" w:hAnsi="TT15Et00" w:cs="TT15Et00"/>
          <w:b/>
          <w:u w:val="single"/>
        </w:rPr>
      </w:pPr>
      <w:r w:rsidRPr="00524C23">
        <w:rPr>
          <w:rFonts w:ascii="TT15Et00" w:hAnsi="TT15Et00" w:cs="TT15Et00"/>
          <w:b/>
          <w:u w:val="single"/>
        </w:rPr>
        <w:t>Access Integration Directory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Click on the link Integration Builder under Integration Directory. The following screen appears –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5C4CC3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3095625" cy="2171700"/>
            <wp:effectExtent l="19050" t="0" r="9525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Login to PI using your user id and password.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Pr="00524C23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524C23">
        <w:rPr>
          <w:rFonts w:ascii="TT15Et00" w:hAnsi="TT15Et00" w:cs="TT15Et00"/>
          <w:b/>
          <w:u w:val="single"/>
        </w:rPr>
        <w:t>3.</w:t>
      </w:r>
      <w:r>
        <w:rPr>
          <w:rFonts w:ascii="TT15Et00" w:hAnsi="TT15Et00" w:cs="TT15Et00"/>
          <w:b/>
          <w:u w:val="single"/>
        </w:rPr>
        <w:t xml:space="preserve"> </w:t>
      </w:r>
      <w:r w:rsidRPr="00524C23">
        <w:rPr>
          <w:rFonts w:ascii="TT15Et00" w:hAnsi="TT15Et00" w:cs="TT15Et00"/>
          <w:b/>
          <w:u w:val="single"/>
        </w:rPr>
        <w:t>Create a new Scenario</w:t>
      </w:r>
    </w:p>
    <w:p w:rsidR="00A82864" w:rsidRPr="00524C23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Scenario is a place holder for the configuration of interfaces. A scenario can hold the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configuration</w:t>
      </w:r>
      <w:proofErr w:type="gramEnd"/>
      <w:r>
        <w:rPr>
          <w:rFonts w:ascii="TT15Ct00" w:hAnsi="TT15Ct00" w:cs="TT15Ct00"/>
        </w:rPr>
        <w:t xml:space="preserve"> for multiple interfaces.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Create a Configuration Scenario </w:t>
      </w:r>
      <w:proofErr w:type="spellStart"/>
      <w:r w:rsidRPr="00A82864">
        <w:rPr>
          <w:rFonts w:ascii="TT15Ct00" w:hAnsi="TT15Ct00" w:cs="TT15Ct00"/>
        </w:rPr>
        <w:t>CS_sampleFile_IDOC</w:t>
      </w:r>
      <w:proofErr w:type="spellEnd"/>
      <w:r>
        <w:rPr>
          <w:rFonts w:ascii="TT15Ct00" w:hAnsi="TT15Ct00" w:cs="TT15Ct00"/>
        </w:rPr>
        <w:t xml:space="preserve"> as shown below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4950013" cy="1348740"/>
            <wp:effectExtent l="19050" t="0" r="2987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75" cy="135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9B67D2">
        <w:rPr>
          <w:rFonts w:ascii="TT15Et00" w:hAnsi="TT15Et00" w:cs="TT15Et00"/>
          <w:b/>
          <w:u w:val="single"/>
        </w:rPr>
        <w:t>4. Create Business Component for Sending and receiving File system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ind w:firstLine="720"/>
        <w:rPr>
          <w:rFonts w:ascii="TT15Et00" w:hAnsi="TT15Et00" w:cs="TT15Et00"/>
          <w:b/>
          <w:u w:val="single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</w:rPr>
      </w:pPr>
      <w:r>
        <w:rPr>
          <w:rFonts w:ascii="TT15Et00" w:hAnsi="TT15Et00" w:cs="TT15Et00"/>
        </w:rPr>
        <w:t>Assign the Service Interfaces to Business Component as shown below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</w:rPr>
      </w:pPr>
    </w:p>
    <w:p w:rsidR="00A82864" w:rsidRPr="009B67D2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9B67D2">
        <w:rPr>
          <w:rFonts w:ascii="TT15Et00" w:hAnsi="TT15Et00" w:cs="TT15Et00"/>
          <w:b/>
        </w:rPr>
        <w:t>FOR SENDER COMPONENT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Default="005C4CC3" w:rsidP="00A82864">
      <w:pPr>
        <w:autoSpaceDE w:val="0"/>
        <w:autoSpaceDN w:val="0"/>
        <w:adjustRightInd w:val="0"/>
        <w:spacing w:after="0" w:line="240" w:lineRule="auto"/>
        <w:ind w:left="-180"/>
        <w:rPr>
          <w:rFonts w:ascii="TT15Ct00" w:hAnsi="TT15Ct00" w:cs="TT15Ct00"/>
        </w:rPr>
      </w:pPr>
      <w:r>
        <w:rPr>
          <w:rFonts w:ascii="TT15Ct00" w:hAnsi="TT15Ct00" w:cs="TT15Ct00"/>
          <w:noProof/>
        </w:rPr>
        <w:drawing>
          <wp:inline distT="0" distB="0" distL="0" distR="0">
            <wp:extent cx="5943600" cy="1838325"/>
            <wp:effectExtent l="1905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DA" w:rsidRDefault="00844DDA" w:rsidP="00844DDA">
      <w:pPr>
        <w:autoSpaceDE w:val="0"/>
        <w:autoSpaceDN w:val="0"/>
        <w:adjustRightInd w:val="0"/>
        <w:spacing w:after="0" w:line="240" w:lineRule="auto"/>
        <w:ind w:left="-450"/>
        <w:rPr>
          <w:rFonts w:ascii="TT15Ct00" w:hAnsi="TT15Ct00" w:cs="TT15Ct00"/>
        </w:rPr>
      </w:pPr>
    </w:p>
    <w:p w:rsidR="0009520B" w:rsidRDefault="0009520B" w:rsidP="0009520B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Pr="009B67D2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9B67D2">
        <w:rPr>
          <w:rFonts w:ascii="TT15Et00" w:hAnsi="TT15Et00" w:cs="TT15Et00"/>
          <w:b/>
        </w:rPr>
        <w:t>FOR RECEIVER COMPONENT</w:t>
      </w:r>
    </w:p>
    <w:p w:rsidR="0009520B" w:rsidRPr="00A82864" w:rsidRDefault="0009520B" w:rsidP="00A82864">
      <w:pPr>
        <w:spacing w:line="240" w:lineRule="auto"/>
        <w:ind w:left="-180"/>
        <w:rPr>
          <w:rFonts w:ascii="Arial Narrow" w:hAnsi="Arial Narrow"/>
          <w:sz w:val="2"/>
          <w:szCs w:val="2"/>
        </w:rPr>
      </w:pPr>
    </w:p>
    <w:p w:rsidR="00A82864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943600" cy="1704975"/>
            <wp:effectExtent l="1905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6D0AFA">
        <w:rPr>
          <w:rFonts w:ascii="TT15Et00" w:hAnsi="TT15Et00" w:cs="TT15Et00"/>
          <w:b/>
          <w:u w:val="single"/>
        </w:rPr>
        <w:t>6. Create Communication Channels</w:t>
      </w:r>
    </w:p>
    <w:p w:rsidR="003B3719" w:rsidRPr="003B3719" w:rsidRDefault="003B3719" w:rsidP="003B3719">
      <w:pPr>
        <w:ind w:left="-360"/>
        <w:rPr>
          <w:rFonts w:ascii="Arial Narrow" w:hAnsi="Arial Narrow"/>
          <w:sz w:val="28"/>
        </w:rPr>
      </w:pPr>
      <w:r w:rsidRPr="003B3719">
        <w:rPr>
          <w:rFonts w:ascii="Arial Narrow" w:hAnsi="Arial Narrow"/>
          <w:b/>
          <w:sz w:val="28"/>
          <w:highlight w:val="yellow"/>
        </w:rPr>
        <w:t>Note</w:t>
      </w:r>
      <w:r w:rsidRPr="003B3719">
        <w:rPr>
          <w:rFonts w:ascii="Arial Narrow" w:hAnsi="Arial Narrow"/>
          <w:sz w:val="28"/>
          <w:highlight w:val="yellow"/>
        </w:rPr>
        <w:t xml:space="preserve">: Configurations for PI ABAP stack for </w:t>
      </w:r>
      <w:r w:rsidRPr="003B3719">
        <w:rPr>
          <w:rFonts w:ascii="Arial Narrow" w:hAnsi="Arial Narrow"/>
          <w:b/>
          <w:sz w:val="28"/>
          <w:highlight w:val="yellow"/>
        </w:rPr>
        <w:t>SM59</w:t>
      </w:r>
      <w:r w:rsidRPr="003B3719">
        <w:rPr>
          <w:rFonts w:ascii="Arial Narrow" w:hAnsi="Arial Narrow"/>
          <w:sz w:val="28"/>
          <w:highlight w:val="yellow"/>
        </w:rPr>
        <w:t xml:space="preserve">, </w:t>
      </w:r>
      <w:r w:rsidRPr="003B3719">
        <w:rPr>
          <w:rFonts w:ascii="Arial Narrow" w:hAnsi="Arial Narrow"/>
          <w:b/>
          <w:sz w:val="28"/>
          <w:highlight w:val="yellow"/>
        </w:rPr>
        <w:t>IDX1</w:t>
      </w:r>
      <w:r w:rsidRPr="003B3719">
        <w:rPr>
          <w:rFonts w:ascii="Arial Narrow" w:hAnsi="Arial Narrow"/>
          <w:sz w:val="28"/>
          <w:highlight w:val="yellow"/>
        </w:rPr>
        <w:t xml:space="preserve"> and </w:t>
      </w:r>
      <w:r w:rsidRPr="003B3719">
        <w:rPr>
          <w:rFonts w:ascii="Arial Narrow" w:hAnsi="Arial Narrow"/>
          <w:b/>
          <w:sz w:val="28"/>
          <w:highlight w:val="yellow"/>
        </w:rPr>
        <w:t>IDX2</w:t>
      </w:r>
      <w:r w:rsidRPr="003B3719">
        <w:rPr>
          <w:rFonts w:ascii="Arial Narrow" w:hAnsi="Arial Narrow"/>
          <w:sz w:val="28"/>
          <w:highlight w:val="yellow"/>
        </w:rPr>
        <w:t xml:space="preserve"> is already in place. Please make sure that you use example the same RFC destination and port given in the receiver IDOC adapter channel in this document.</w:t>
      </w:r>
    </w:p>
    <w:p w:rsidR="003B3719" w:rsidRDefault="003B3719" w:rsidP="003B3719">
      <w:pPr>
        <w:ind w:left="-360"/>
        <w:rPr>
          <w:rFonts w:ascii="Arial Narrow" w:hAnsi="Arial Narrow"/>
        </w:rPr>
      </w:pPr>
      <w:r w:rsidRPr="003B3719">
        <w:rPr>
          <w:rFonts w:ascii="Arial Narrow" w:hAnsi="Arial Narrow"/>
          <w:sz w:val="28"/>
          <w:highlight w:val="yellow"/>
        </w:rPr>
        <w:t>Please reuse the IDOC channel and also reuse the sender business component of this sample for your interface.</w:t>
      </w:r>
    </w:p>
    <w:p w:rsidR="003B3719" w:rsidRDefault="003B3719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A82864" w:rsidRPr="006D0AFA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This communication channel will enable the business component/business system and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Integration server to communicate to each other.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A82864" w:rsidRPr="006D0AFA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 w:rsidRPr="006D0AFA">
        <w:rPr>
          <w:rFonts w:ascii="TT15Et00" w:hAnsi="TT15Et00" w:cs="TT15Et00"/>
          <w:b/>
        </w:rPr>
        <w:t>Sender Communication Channel –</w:t>
      </w:r>
    </w:p>
    <w:p w:rsidR="00A82864" w:rsidRDefault="00A82864" w:rsidP="00A82864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  <w:u w:val="single"/>
        </w:rPr>
      </w:pPr>
    </w:p>
    <w:p w:rsidR="00A82864" w:rsidRDefault="005C4CC3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810250" cy="2038350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4" w:rsidRPr="006D0AFA" w:rsidRDefault="00E56B72" w:rsidP="00A82864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</w:rPr>
      </w:pPr>
      <w:r>
        <w:rPr>
          <w:rFonts w:ascii="TT15Et00" w:hAnsi="TT15Et00" w:cs="TT15Et00"/>
          <w:b/>
        </w:rPr>
        <w:t>Receiver</w:t>
      </w:r>
      <w:r w:rsidR="00A82864" w:rsidRPr="006D0AFA">
        <w:rPr>
          <w:rFonts w:ascii="TT15Et00" w:hAnsi="TT15Et00" w:cs="TT15Et00"/>
          <w:b/>
        </w:rPr>
        <w:t xml:space="preserve"> Communication Channel –</w:t>
      </w:r>
    </w:p>
    <w:p w:rsidR="00A82864" w:rsidRPr="00E56B72" w:rsidRDefault="00A82864" w:rsidP="0009520B">
      <w:pPr>
        <w:ind w:left="-180"/>
        <w:rPr>
          <w:rFonts w:ascii="Arial Narrow" w:hAnsi="Arial Narrow"/>
          <w:sz w:val="2"/>
          <w:szCs w:val="2"/>
        </w:rPr>
      </w:pPr>
    </w:p>
    <w:p w:rsidR="00E56B72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581650" cy="2657475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7C40FF">
        <w:rPr>
          <w:rFonts w:ascii="TT15Et00" w:hAnsi="TT15Et00" w:cs="TT15Et00"/>
          <w:b/>
          <w:u w:val="single"/>
        </w:rPr>
        <w:t>7. Receiver Determination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E56B72" w:rsidRPr="007C40FF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A receiver determination defines one or more receivers for a sender and </w:t>
      </w:r>
      <w:proofErr w:type="gramStart"/>
      <w:r>
        <w:rPr>
          <w:rFonts w:ascii="TT15Ct00" w:hAnsi="TT15Ct00" w:cs="TT15Ct00"/>
        </w:rPr>
        <w:t>a</w:t>
      </w:r>
      <w:proofErr w:type="gramEnd"/>
      <w:r>
        <w:rPr>
          <w:rFonts w:ascii="TT15Ct00" w:hAnsi="TT15Ct00" w:cs="TT15Ct00"/>
        </w:rPr>
        <w:t xml:space="preserve"> outbound Service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interface</w:t>
      </w:r>
      <w:proofErr w:type="gramEnd"/>
      <w:r>
        <w:rPr>
          <w:rFonts w:ascii="TT15Ct00" w:hAnsi="TT15Ct00" w:cs="TT15Ct00"/>
        </w:rPr>
        <w:t>. Create a new receiver determination, by right the scenario and then select Receiver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Determination under Configuration Objects</w:t>
      </w:r>
    </w:p>
    <w:p w:rsidR="00E56B72" w:rsidRDefault="00E56B72" w:rsidP="0009520B">
      <w:pPr>
        <w:ind w:left="-180"/>
        <w:rPr>
          <w:rFonts w:ascii="Arial Narrow" w:hAnsi="Arial Narrow"/>
        </w:rPr>
      </w:pPr>
    </w:p>
    <w:p w:rsidR="00E56B72" w:rsidRDefault="005C4CC3" w:rsidP="0009520B">
      <w:pPr>
        <w:ind w:left="-18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943600" cy="2143125"/>
            <wp:effectExtent l="19050" t="0" r="0" b="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  <w:b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  <w:r w:rsidRPr="007C40FF">
        <w:rPr>
          <w:rFonts w:ascii="TT15Et00" w:hAnsi="TT15Et00" w:cs="TT15Et00"/>
          <w:b/>
          <w:u w:val="single"/>
        </w:rPr>
        <w:t>8. Interface Determination</w:t>
      </w:r>
    </w:p>
    <w:p w:rsidR="00E56B72" w:rsidRPr="007C40FF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Et00" w:hAnsi="TT15Et00" w:cs="TT15Et00"/>
          <w:b/>
          <w:u w:val="single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In this step, we need to determine the inbound service interface using which the receiver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proofErr w:type="gramStart"/>
      <w:r>
        <w:rPr>
          <w:rFonts w:ascii="TT15Ct00" w:hAnsi="TT15Ct00" w:cs="TT15Ct00"/>
        </w:rPr>
        <w:t>system</w:t>
      </w:r>
      <w:proofErr w:type="gramEnd"/>
      <w:r>
        <w:rPr>
          <w:rFonts w:ascii="TT15Ct00" w:hAnsi="TT15Ct00" w:cs="TT15Ct00"/>
        </w:rPr>
        <w:t xml:space="preserve"> is expected to receive data.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Create a new interface determination, by right the scenario and then select Interface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Determination under Configuration </w:t>
      </w:r>
      <w:proofErr w:type="gramStart"/>
      <w:r>
        <w:rPr>
          <w:rFonts w:ascii="TT15Ct00" w:hAnsi="TT15Ct00" w:cs="TT15Ct00"/>
        </w:rPr>
        <w:t>Objects ,</w:t>
      </w:r>
      <w:proofErr w:type="gramEnd"/>
      <w:r>
        <w:rPr>
          <w:rFonts w:ascii="TT15Ct00" w:hAnsi="TT15Ct00" w:cs="TT15Ct00"/>
        </w:rPr>
        <w:t xml:space="preserve"> as shown below</w:t>
      </w:r>
    </w:p>
    <w:p w:rsidR="00E56B72" w:rsidRDefault="00E56B72" w:rsidP="00E56B72">
      <w:pPr>
        <w:rPr>
          <w:rFonts w:ascii="Arial Narrow" w:hAnsi="Arial Narrow"/>
        </w:rPr>
      </w:pPr>
    </w:p>
    <w:p w:rsidR="00E56B72" w:rsidRDefault="005C4CC3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943600" cy="2019300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C3" w:rsidRDefault="005C4CC3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Et00" w:hAnsi="TT15Et00" w:cs="TT15Et00"/>
          <w:b/>
          <w:u w:val="single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Et00" w:hAnsi="TT15Et00" w:cs="TT15Et00"/>
          <w:b/>
          <w:u w:val="single"/>
        </w:rPr>
      </w:pPr>
      <w:r w:rsidRPr="0013101A">
        <w:rPr>
          <w:rFonts w:ascii="TT15Et00" w:hAnsi="TT15Et00" w:cs="TT15Et00"/>
          <w:b/>
          <w:u w:val="single"/>
        </w:rPr>
        <w:t>9. Sender and Receiver Agreement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Et00" w:hAnsi="TT15Et00" w:cs="TT15Et00"/>
          <w:b/>
          <w:u w:val="single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>The agreements we need to specify the communication channel to be used by sending/receiving systems to actually connect to Integration Engine.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Create the sender and receiver </w:t>
      </w:r>
      <w:proofErr w:type="spellStart"/>
      <w:r>
        <w:rPr>
          <w:rFonts w:ascii="TT15Ct00" w:hAnsi="TT15Ct00" w:cs="TT15Ct00"/>
        </w:rPr>
        <w:t>receiver</w:t>
      </w:r>
      <w:proofErr w:type="spellEnd"/>
      <w:r>
        <w:rPr>
          <w:rFonts w:ascii="TT15Ct00" w:hAnsi="TT15Ct00" w:cs="TT15Ct00"/>
        </w:rPr>
        <w:t xml:space="preserve"> agreement by specifying sender and receiver business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Ct00" w:hAnsi="TT15Ct00" w:cs="TT15Ct00"/>
        </w:rPr>
      </w:pPr>
      <w:r>
        <w:rPr>
          <w:rFonts w:ascii="TT15Ct00" w:hAnsi="TT15Ct00" w:cs="TT15Ct00"/>
        </w:rPr>
        <w:t xml:space="preserve">   </w:t>
      </w:r>
      <w:proofErr w:type="gramStart"/>
      <w:r>
        <w:rPr>
          <w:rFonts w:ascii="TT15Ct00" w:hAnsi="TT15Ct00" w:cs="TT15Ct00"/>
        </w:rPr>
        <w:t>component</w:t>
      </w:r>
      <w:proofErr w:type="gramEnd"/>
      <w:r>
        <w:rPr>
          <w:rFonts w:ascii="TT15Ct00" w:hAnsi="TT15Ct00" w:cs="TT15Ct00"/>
        </w:rPr>
        <w:t xml:space="preserve"> and adding corresponding communication channel.</w:t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Ct00" w:hAnsi="TT15Ct00" w:cs="TT15Ct00"/>
        </w:rPr>
      </w:pPr>
    </w:p>
    <w:p w:rsidR="00E56B72" w:rsidRP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Ct00" w:hAnsi="TT15Ct00" w:cs="TT15Ct00"/>
          <w:b/>
        </w:rPr>
      </w:pPr>
      <w:r>
        <w:rPr>
          <w:rFonts w:ascii="TT15Ct00" w:hAnsi="TT15Ct00" w:cs="TT15Ct00"/>
          <w:b/>
        </w:rPr>
        <w:t>SENDER</w:t>
      </w:r>
      <w:r w:rsidRPr="0013101A">
        <w:rPr>
          <w:rFonts w:ascii="TT15Ct00" w:hAnsi="TT15Ct00" w:cs="TT15Ct00"/>
          <w:b/>
        </w:rPr>
        <w:t xml:space="preserve"> AGREEMENT</w:t>
      </w:r>
    </w:p>
    <w:p w:rsidR="00E56B72" w:rsidRPr="00E56B72" w:rsidRDefault="00E56B72" w:rsidP="00E56B72">
      <w:pPr>
        <w:rPr>
          <w:rFonts w:ascii="Arial Narrow" w:hAnsi="Arial Narrow"/>
          <w:sz w:val="2"/>
          <w:szCs w:val="2"/>
        </w:rPr>
      </w:pPr>
    </w:p>
    <w:p w:rsidR="00E56B72" w:rsidRDefault="005C4CC3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943600" cy="1790700"/>
            <wp:effectExtent l="19050" t="0" r="0" b="0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72" w:rsidRDefault="00E56B72" w:rsidP="00E56B72">
      <w:pPr>
        <w:autoSpaceDE w:val="0"/>
        <w:autoSpaceDN w:val="0"/>
        <w:adjustRightInd w:val="0"/>
        <w:spacing w:after="0" w:line="240" w:lineRule="auto"/>
        <w:ind w:left="-180"/>
        <w:rPr>
          <w:rFonts w:ascii="TT15Ct00" w:hAnsi="TT15Ct00" w:cs="TT15Ct00"/>
          <w:b/>
        </w:rPr>
      </w:pPr>
      <w:r w:rsidRPr="0013101A">
        <w:rPr>
          <w:rFonts w:ascii="TT15Ct00" w:hAnsi="TT15Ct00" w:cs="TT15Ct00"/>
          <w:b/>
        </w:rPr>
        <w:t>RECEIVER AGREEMENT</w:t>
      </w:r>
    </w:p>
    <w:p w:rsidR="00E56B72" w:rsidRDefault="00E56B72" w:rsidP="00E56B72">
      <w:pPr>
        <w:ind w:left="-360"/>
        <w:rPr>
          <w:rFonts w:ascii="Arial Narrow" w:hAnsi="Arial Narrow"/>
        </w:rPr>
      </w:pPr>
    </w:p>
    <w:p w:rsidR="003B3719" w:rsidRDefault="005C4CC3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4876800" cy="2790825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19" w:rsidRDefault="003B3719" w:rsidP="00E56B72">
      <w:pPr>
        <w:ind w:left="-360"/>
        <w:rPr>
          <w:rFonts w:ascii="Arial Narrow" w:hAnsi="Arial Narrow"/>
          <w:b/>
          <w:sz w:val="28"/>
          <w:u w:val="single"/>
        </w:rPr>
      </w:pPr>
    </w:p>
    <w:p w:rsidR="003B3719" w:rsidRPr="003B3719" w:rsidRDefault="003B3719" w:rsidP="00E56B72">
      <w:pPr>
        <w:ind w:left="-360"/>
        <w:rPr>
          <w:rFonts w:ascii="Arial Narrow" w:hAnsi="Arial Narrow"/>
          <w:b/>
          <w:sz w:val="28"/>
          <w:u w:val="single"/>
        </w:rPr>
      </w:pPr>
      <w:r w:rsidRPr="003B3719">
        <w:rPr>
          <w:rFonts w:ascii="Arial Narrow" w:hAnsi="Arial Narrow"/>
          <w:b/>
          <w:sz w:val="28"/>
          <w:u w:val="single"/>
        </w:rPr>
        <w:t>TESTING</w:t>
      </w:r>
    </w:p>
    <w:p w:rsidR="003B3719" w:rsidRDefault="003B3719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</w:rPr>
        <w:t>Please use the below attached file for testing. Once you have processed the file check your IDOC in WE05 of EC5 client 100.</w:t>
      </w:r>
    </w:p>
    <w:p w:rsidR="00E56B72" w:rsidRPr="000B70F4" w:rsidRDefault="006E30FB" w:rsidP="00E56B72">
      <w:pPr>
        <w:ind w:left="-360"/>
        <w:rPr>
          <w:rFonts w:ascii="Arial Narrow" w:hAnsi="Arial Narrow"/>
        </w:rPr>
      </w:pPr>
      <w:r>
        <w:rPr>
          <w:rFonts w:ascii="Arial Narrow" w:hAnsi="Arial Narrow"/>
        </w:rPr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32" o:title=""/>
          </v:shape>
          <o:OLEObject Type="Embed" ProgID="Package" ShapeID="_x0000_i1025" DrawAspect="Icon" ObjectID="_1525697582" r:id="rId33"/>
        </w:object>
      </w:r>
    </w:p>
    <w:sectPr w:rsidR="00E56B72" w:rsidRPr="000B70F4" w:rsidSect="007C5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15C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5E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T15D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B4C36"/>
    <w:multiLevelType w:val="hybridMultilevel"/>
    <w:tmpl w:val="1F6A9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D614C5"/>
    <w:multiLevelType w:val="hybridMultilevel"/>
    <w:tmpl w:val="87F41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0F4"/>
    <w:rsid w:val="00035172"/>
    <w:rsid w:val="0009520B"/>
    <w:rsid w:val="000B70F4"/>
    <w:rsid w:val="000D62BB"/>
    <w:rsid w:val="003B3719"/>
    <w:rsid w:val="00466A98"/>
    <w:rsid w:val="00580A6C"/>
    <w:rsid w:val="005949ED"/>
    <w:rsid w:val="005C4CC3"/>
    <w:rsid w:val="006C53F8"/>
    <w:rsid w:val="006E30FB"/>
    <w:rsid w:val="00743927"/>
    <w:rsid w:val="007C5E80"/>
    <w:rsid w:val="00844DDA"/>
    <w:rsid w:val="00A82864"/>
    <w:rsid w:val="00E51A69"/>
    <w:rsid w:val="00E56B72"/>
    <w:rsid w:val="00FF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F12A61-0D3C-4AA0-BCAA-350B36A58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E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0F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0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5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in-mum-solman:50000/dir/start/index.jsp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5" Type="http://schemas.openxmlformats.org/officeDocument/2006/relationships/hyperlink" Target="http://in-mum-solman:50000/dir/start/index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mopathak</dc:creator>
  <cp:lastModifiedBy>Manavala, Venkatesh</cp:lastModifiedBy>
  <cp:revision>1</cp:revision>
  <dcterms:created xsi:type="dcterms:W3CDTF">2016-05-25T10:37:00Z</dcterms:created>
  <dcterms:modified xsi:type="dcterms:W3CDTF">2016-05-25T10:37:00Z</dcterms:modified>
</cp:coreProperties>
</file>