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076" w:rsidRPr="00624076" w:rsidRDefault="00624076" w:rsidP="00624076">
      <w:pPr>
        <w:shd w:val="clear" w:color="auto" w:fill="FFFFFF"/>
        <w:spacing w:after="0" w:line="675" w:lineRule="atLeast"/>
        <w:ind w:hanging="72"/>
        <w:textAlignment w:val="baseline"/>
        <w:outlineLvl w:val="0"/>
        <w:rPr>
          <w:rFonts w:ascii="Arial" w:eastAsia="Times New Roman" w:hAnsi="Arial" w:cs="Arial"/>
          <w:b/>
          <w:bCs/>
          <w:color w:val="333333"/>
          <w:kern w:val="36"/>
          <w:sz w:val="45"/>
          <w:szCs w:val="45"/>
        </w:rPr>
      </w:pPr>
      <w:r w:rsidRPr="00624076">
        <w:rPr>
          <w:rFonts w:ascii="inherit" w:eastAsia="Times New Roman" w:hAnsi="inherit" w:cs="Arial"/>
          <w:b/>
          <w:bCs/>
          <w:color w:val="333333"/>
          <w:kern w:val="36"/>
          <w:sz w:val="45"/>
          <w:szCs w:val="45"/>
          <w:bdr w:val="none" w:sz="0" w:space="0" w:color="auto" w:frame="1"/>
        </w:rPr>
        <w:t>Pooled and Cluster Tables</w:t>
      </w:r>
      <w:r w:rsidRPr="00624076">
        <w:rPr>
          <w:rFonts w:ascii="Arial" w:eastAsia="Times New Roman" w:hAnsi="Arial" w:cs="Arial"/>
          <w:b/>
          <w:bCs/>
          <w:color w:val="333333"/>
          <w:kern w:val="36"/>
          <w:sz w:val="45"/>
          <w:szCs w:val="45"/>
        </w:rPr>
        <w:t> </w:t>
      </w:r>
    </w:p>
    <w:p w:rsidR="00624076" w:rsidRPr="00624076" w:rsidRDefault="00624076" w:rsidP="00624076">
      <w:pPr>
        <w:shd w:val="clear" w:color="auto" w:fill="FFFFFF"/>
        <w:spacing w:after="0" w:line="450" w:lineRule="atLeast"/>
        <w:textAlignment w:val="baseline"/>
        <w:outlineLvl w:val="2"/>
        <w:rPr>
          <w:rFonts w:ascii="Arial" w:eastAsia="Times New Roman" w:hAnsi="Arial" w:cs="Arial"/>
          <w:b/>
          <w:bCs/>
          <w:color w:val="999999"/>
          <w:sz w:val="30"/>
          <w:szCs w:val="30"/>
        </w:rPr>
      </w:pPr>
      <w:r w:rsidRPr="00624076">
        <w:rPr>
          <w:rFonts w:ascii="inherit" w:eastAsia="Times New Roman" w:hAnsi="inherit" w:cs="Arial"/>
          <w:b/>
          <w:bCs/>
          <w:color w:val="999999"/>
          <w:sz w:val="30"/>
          <w:szCs w:val="30"/>
          <w:bdr w:val="none" w:sz="0" w:space="0" w:color="auto" w:frame="1"/>
        </w:rPr>
        <w:t>Use</w:t>
      </w:r>
    </w:p>
    <w:p w:rsidR="00624076" w:rsidRPr="00624076" w:rsidRDefault="00624076" w:rsidP="00624076">
      <w:pPr>
        <w:shd w:val="clear" w:color="auto" w:fill="FFFFFF"/>
        <w:spacing w:after="0" w:line="240" w:lineRule="auto"/>
        <w:textAlignment w:val="baseline"/>
        <w:rPr>
          <w:rFonts w:ascii="Arial" w:eastAsia="Times New Roman" w:hAnsi="Arial" w:cs="Arial"/>
          <w:color w:val="333333"/>
          <w:sz w:val="20"/>
          <w:szCs w:val="20"/>
        </w:rPr>
      </w:pPr>
      <w:r w:rsidRPr="00624076">
        <w:rPr>
          <w:rFonts w:ascii="inherit" w:eastAsia="Times New Roman" w:hAnsi="inherit" w:cs="Arial"/>
          <w:color w:val="333333"/>
          <w:sz w:val="20"/>
          <w:szCs w:val="20"/>
          <w:bdr w:val="none" w:sz="0" w:space="0" w:color="auto" w:frame="1"/>
        </w:rPr>
        <w:t>Table pools (pools) and table clusters (clusters) are special table types in the ABAP Dictionary. The data from several different tables can be stored together in a table pool or table cluster. Tables assigned to a table pool or table cluster are indicated as pooled tables or cluster tables.</w:t>
      </w:r>
    </w:p>
    <w:p w:rsidR="00624076" w:rsidRPr="00624076" w:rsidRDefault="00624076" w:rsidP="00624076">
      <w:pPr>
        <w:shd w:val="clear" w:color="auto" w:fill="FFFFFF"/>
        <w:spacing w:after="0" w:line="240" w:lineRule="auto"/>
        <w:textAlignment w:val="baseline"/>
        <w:rPr>
          <w:rFonts w:ascii="Arial" w:eastAsia="Times New Roman" w:hAnsi="Arial" w:cs="Arial"/>
          <w:color w:val="333333"/>
          <w:sz w:val="20"/>
          <w:szCs w:val="20"/>
        </w:rPr>
      </w:pPr>
      <w:r w:rsidRPr="00624076">
        <w:rPr>
          <w:rFonts w:ascii="inherit" w:eastAsia="Times New Roman" w:hAnsi="inherit" w:cs="Arial"/>
          <w:color w:val="333333"/>
          <w:sz w:val="20"/>
          <w:szCs w:val="20"/>
          <w:bdr w:val="none" w:sz="0" w:space="0" w:color="auto" w:frame="1"/>
        </w:rPr>
        <w:t xml:space="preserve">You must use a table pool or table cluster exclusively for storing internal control information (screen sequences, program parameters, temporary data, </w:t>
      </w:r>
      <w:proofErr w:type="gramStart"/>
      <w:r w:rsidRPr="00624076">
        <w:rPr>
          <w:rFonts w:ascii="inherit" w:eastAsia="Times New Roman" w:hAnsi="inherit" w:cs="Arial"/>
          <w:color w:val="333333"/>
          <w:sz w:val="20"/>
          <w:szCs w:val="20"/>
          <w:bdr w:val="none" w:sz="0" w:space="0" w:color="auto" w:frame="1"/>
        </w:rPr>
        <w:t>continuous</w:t>
      </w:r>
      <w:proofErr w:type="gramEnd"/>
      <w:r w:rsidRPr="00624076">
        <w:rPr>
          <w:rFonts w:ascii="inherit" w:eastAsia="Times New Roman" w:hAnsi="inherit" w:cs="Arial"/>
          <w:color w:val="333333"/>
          <w:sz w:val="20"/>
          <w:szCs w:val="20"/>
          <w:bdr w:val="none" w:sz="0" w:space="0" w:color="auto" w:frame="1"/>
        </w:rPr>
        <w:t xml:space="preserve"> texts such as documentation). Data of commercial relevance is stored in transparent tables.</w:t>
      </w:r>
    </w:p>
    <w:p w:rsidR="00624076" w:rsidRPr="00624076" w:rsidRDefault="00624076" w:rsidP="00624076">
      <w:pPr>
        <w:shd w:val="clear" w:color="auto" w:fill="FFFFFF"/>
        <w:spacing w:after="0" w:line="450" w:lineRule="atLeast"/>
        <w:textAlignment w:val="baseline"/>
        <w:outlineLvl w:val="2"/>
        <w:rPr>
          <w:rFonts w:ascii="Arial" w:eastAsia="Times New Roman" w:hAnsi="Arial" w:cs="Arial"/>
          <w:b/>
          <w:bCs/>
          <w:color w:val="999999"/>
          <w:sz w:val="30"/>
          <w:szCs w:val="30"/>
        </w:rPr>
      </w:pPr>
      <w:r w:rsidRPr="00624076">
        <w:rPr>
          <w:rFonts w:ascii="inherit" w:eastAsia="Times New Roman" w:hAnsi="inherit" w:cs="Arial"/>
          <w:b/>
          <w:bCs/>
          <w:color w:val="999999"/>
          <w:sz w:val="30"/>
          <w:szCs w:val="30"/>
          <w:bdr w:val="none" w:sz="0" w:space="0" w:color="auto" w:frame="1"/>
        </w:rPr>
        <w:t>Features</w:t>
      </w:r>
    </w:p>
    <w:p w:rsidR="00624076" w:rsidRPr="00624076" w:rsidRDefault="00624076" w:rsidP="00624076">
      <w:pPr>
        <w:shd w:val="clear" w:color="auto" w:fill="FFFFFF"/>
        <w:spacing w:after="0" w:line="360" w:lineRule="atLeast"/>
        <w:textAlignment w:val="baseline"/>
        <w:outlineLvl w:val="3"/>
        <w:rPr>
          <w:rFonts w:ascii="Arial" w:eastAsia="Times New Roman" w:hAnsi="Arial" w:cs="Arial"/>
          <w:b/>
          <w:bCs/>
          <w:color w:val="666666"/>
          <w:sz w:val="24"/>
          <w:szCs w:val="24"/>
        </w:rPr>
      </w:pPr>
      <w:r w:rsidRPr="00624076">
        <w:rPr>
          <w:rFonts w:ascii="inherit" w:eastAsia="Times New Roman" w:hAnsi="inherit" w:cs="Arial"/>
          <w:b/>
          <w:bCs/>
          <w:color w:val="666666"/>
          <w:sz w:val="24"/>
          <w:szCs w:val="24"/>
          <w:bdr w:val="none" w:sz="0" w:space="0" w:color="auto" w:frame="1"/>
        </w:rPr>
        <w:t>Table Pools</w:t>
      </w:r>
    </w:p>
    <w:p w:rsidR="00624076" w:rsidRPr="00624076" w:rsidRDefault="00624076" w:rsidP="00624076">
      <w:pPr>
        <w:shd w:val="clear" w:color="auto" w:fill="FFFFFF"/>
        <w:spacing w:after="0" w:line="240" w:lineRule="auto"/>
        <w:textAlignment w:val="baseline"/>
        <w:rPr>
          <w:rFonts w:ascii="Arial" w:eastAsia="Times New Roman" w:hAnsi="Arial" w:cs="Arial"/>
          <w:color w:val="333333"/>
          <w:sz w:val="20"/>
          <w:szCs w:val="20"/>
        </w:rPr>
      </w:pPr>
      <w:r w:rsidRPr="00624076">
        <w:rPr>
          <w:rFonts w:ascii="inherit" w:eastAsia="Times New Roman" w:hAnsi="inherit" w:cs="Arial"/>
          <w:color w:val="333333"/>
          <w:sz w:val="20"/>
          <w:szCs w:val="20"/>
          <w:bdr w:val="none" w:sz="0" w:space="0" w:color="auto" w:frame="1"/>
        </w:rPr>
        <w:t>A table pool corresponds to a table in the database in which all records from the pooled tables assigned to the table pool are stored.</w:t>
      </w:r>
    </w:p>
    <w:p w:rsidR="00624076" w:rsidRPr="00624076" w:rsidRDefault="00624076" w:rsidP="00624076">
      <w:pPr>
        <w:shd w:val="clear" w:color="auto" w:fill="FFFFFF"/>
        <w:spacing w:after="0" w:line="240" w:lineRule="auto"/>
        <w:textAlignment w:val="baseline"/>
        <w:rPr>
          <w:rFonts w:ascii="Arial" w:eastAsia="Times New Roman" w:hAnsi="Arial" w:cs="Arial"/>
          <w:color w:val="333333"/>
          <w:sz w:val="20"/>
          <w:szCs w:val="20"/>
        </w:rPr>
      </w:pPr>
      <w:r w:rsidRPr="00624076">
        <w:rPr>
          <w:rFonts w:ascii="inherit" w:eastAsia="Times New Roman" w:hAnsi="inherit" w:cs="Arial"/>
          <w:color w:val="333333"/>
          <w:sz w:val="20"/>
          <w:szCs w:val="20"/>
          <w:bdr w:val="none" w:sz="0" w:space="0" w:color="auto" w:frame="1"/>
        </w:rPr>
        <w:t>The definition of a pool consists of two key fields (</w:t>
      </w:r>
      <w:proofErr w:type="spellStart"/>
      <w:r w:rsidRPr="00624076">
        <w:rPr>
          <w:rFonts w:ascii="inherit" w:eastAsia="Times New Roman" w:hAnsi="inherit" w:cs="Arial"/>
          <w:color w:val="333333"/>
          <w:sz w:val="20"/>
          <w:szCs w:val="20"/>
          <w:bdr w:val="none" w:sz="0" w:space="0" w:color="auto" w:frame="1"/>
          <w:shd w:val="clear" w:color="auto" w:fill="E5E5E5"/>
        </w:rPr>
        <w:t>Tabname</w:t>
      </w:r>
      <w:proofErr w:type="spellEnd"/>
      <w:r w:rsidRPr="00624076">
        <w:rPr>
          <w:rFonts w:ascii="inherit" w:eastAsia="Times New Roman" w:hAnsi="inherit" w:cs="Arial"/>
          <w:color w:val="333333"/>
          <w:sz w:val="20"/>
          <w:szCs w:val="20"/>
          <w:bdr w:val="none" w:sz="0" w:space="0" w:color="auto" w:frame="1"/>
        </w:rPr>
        <w:t> and </w:t>
      </w:r>
      <w:proofErr w:type="spellStart"/>
      <w:r w:rsidRPr="00624076">
        <w:rPr>
          <w:rFonts w:ascii="inherit" w:eastAsia="Times New Roman" w:hAnsi="inherit" w:cs="Arial"/>
          <w:color w:val="333333"/>
          <w:sz w:val="20"/>
          <w:szCs w:val="20"/>
          <w:bdr w:val="none" w:sz="0" w:space="0" w:color="auto" w:frame="1"/>
          <w:shd w:val="clear" w:color="auto" w:fill="E5E5E5"/>
        </w:rPr>
        <w:t>Varkey</w:t>
      </w:r>
      <w:proofErr w:type="spellEnd"/>
      <w:r w:rsidRPr="00624076">
        <w:rPr>
          <w:rFonts w:ascii="inherit" w:eastAsia="Times New Roman" w:hAnsi="inherit" w:cs="Arial"/>
          <w:color w:val="333333"/>
          <w:sz w:val="20"/>
          <w:szCs w:val="20"/>
          <w:bdr w:val="none" w:sz="0" w:space="0" w:color="auto" w:frame="1"/>
        </w:rPr>
        <w:t>) and a long argument field (</w:t>
      </w:r>
      <w:proofErr w:type="spellStart"/>
      <w:r w:rsidRPr="00624076">
        <w:rPr>
          <w:rFonts w:ascii="inherit" w:eastAsia="Times New Roman" w:hAnsi="inherit" w:cs="Arial"/>
          <w:color w:val="333333"/>
          <w:sz w:val="20"/>
          <w:szCs w:val="20"/>
          <w:bdr w:val="none" w:sz="0" w:space="0" w:color="auto" w:frame="1"/>
          <w:shd w:val="clear" w:color="auto" w:fill="E5E5E5"/>
        </w:rPr>
        <w:t>Vardata</w:t>
      </w:r>
      <w:proofErr w:type="spellEnd"/>
      <w:r w:rsidRPr="00624076">
        <w:rPr>
          <w:rFonts w:ascii="inherit" w:eastAsia="Times New Roman" w:hAnsi="inherit" w:cs="Arial"/>
          <w:color w:val="333333"/>
          <w:sz w:val="20"/>
          <w:szCs w:val="20"/>
          <w:bdr w:val="none" w:sz="0" w:space="0" w:color="auto" w:frame="1"/>
        </w:rPr>
        <w:t>). A pool has the following structure:</w:t>
      </w:r>
    </w:p>
    <w:p w:rsidR="00BC235A" w:rsidRDefault="00624076">
      <w:r>
        <w:rPr>
          <w:noProof/>
        </w:rPr>
        <w:drawing>
          <wp:inline distT="0" distB="0" distL="0" distR="0" wp14:anchorId="6BC61678" wp14:editId="041C9509">
            <wp:extent cx="5943600" cy="1943735"/>
            <wp:effectExtent l="19050" t="19050" r="1905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943735"/>
                    </a:xfrm>
                    <a:prstGeom prst="rect">
                      <a:avLst/>
                    </a:prstGeom>
                    <a:ln>
                      <a:solidFill>
                        <a:schemeClr val="accent1"/>
                      </a:solidFill>
                    </a:ln>
                  </pic:spPr>
                </pic:pic>
              </a:graphicData>
            </a:graphic>
          </wp:inline>
        </w:drawing>
      </w:r>
    </w:p>
    <w:p w:rsidR="00624076" w:rsidRDefault="00624076"/>
    <w:p w:rsidR="00624076" w:rsidRDefault="00624076"/>
    <w:p w:rsidR="00624076" w:rsidRDefault="00624076">
      <w:pPr>
        <w:rPr>
          <w:rFonts w:ascii="Arial" w:hAnsi="Arial" w:cs="Arial"/>
          <w:color w:val="333333"/>
          <w:sz w:val="20"/>
          <w:szCs w:val="20"/>
          <w:shd w:val="clear" w:color="auto" w:fill="FFFFFF"/>
        </w:rPr>
      </w:pPr>
      <w:r>
        <w:rPr>
          <w:rFonts w:ascii="Arial" w:hAnsi="Arial" w:cs="Arial"/>
          <w:color w:val="333333"/>
          <w:sz w:val="20"/>
          <w:szCs w:val="20"/>
          <w:shd w:val="clear" w:color="auto" w:fill="FFFFFF"/>
        </w:rPr>
        <w:t>If you save a pooled table record, the system stores it in the corresponding table pool. The name of the pooled table is written to the</w:t>
      </w:r>
      <w:r>
        <w:rPr>
          <w:rStyle w:val="apple-converted-space"/>
          <w:rFonts w:ascii="Arial" w:hAnsi="Arial" w:cs="Arial"/>
          <w:color w:val="333333"/>
          <w:sz w:val="20"/>
          <w:szCs w:val="20"/>
          <w:shd w:val="clear" w:color="auto" w:fill="FFFFFF"/>
        </w:rPr>
        <w:t> </w:t>
      </w:r>
      <w:proofErr w:type="spellStart"/>
      <w:r>
        <w:rPr>
          <w:rStyle w:val="object"/>
          <w:rFonts w:ascii="Arial" w:hAnsi="Arial" w:cs="Arial"/>
          <w:color w:val="333333"/>
          <w:sz w:val="20"/>
          <w:szCs w:val="20"/>
          <w:bdr w:val="none" w:sz="0" w:space="0" w:color="auto" w:frame="1"/>
          <w:shd w:val="clear" w:color="auto" w:fill="E5E5E5"/>
        </w:rPr>
        <w:t>Tabname</w:t>
      </w:r>
      <w:proofErr w:type="spellEnd"/>
      <w:r>
        <w:rPr>
          <w:rStyle w:val="apple-converted-space"/>
          <w:rFonts w:ascii="Arial" w:hAnsi="Arial" w:cs="Arial"/>
          <w:color w:val="333333"/>
          <w:sz w:val="20"/>
          <w:szCs w:val="20"/>
          <w:bdr w:val="none" w:sz="0" w:space="0" w:color="auto" w:frame="1"/>
          <w:shd w:val="clear" w:color="auto" w:fill="E5E5E5"/>
        </w:rPr>
        <w:t> </w:t>
      </w:r>
      <w:r>
        <w:rPr>
          <w:rStyle w:val="object"/>
          <w:rFonts w:ascii="inherit" w:hAnsi="inherit" w:cs="Arial"/>
          <w:color w:val="333333"/>
          <w:sz w:val="20"/>
          <w:szCs w:val="20"/>
          <w:bdr w:val="none" w:sz="0" w:space="0" w:color="auto" w:frame="1"/>
          <w:shd w:val="clear" w:color="auto" w:fill="E5E5E5"/>
        </w:rPr>
        <w:t>field</w:t>
      </w:r>
      <w:r>
        <w:rPr>
          <w:rFonts w:ascii="Arial" w:hAnsi="Arial" w:cs="Arial"/>
          <w:color w:val="333333"/>
          <w:sz w:val="20"/>
          <w:szCs w:val="20"/>
          <w:shd w:val="clear" w:color="auto" w:fill="FFFFFF"/>
        </w:rPr>
        <w:t>. The contents of all key fields of the pooled table are written as a string to the</w:t>
      </w:r>
      <w:r>
        <w:rPr>
          <w:rStyle w:val="apple-converted-space"/>
          <w:rFonts w:ascii="Arial" w:hAnsi="Arial" w:cs="Arial"/>
          <w:color w:val="333333"/>
          <w:sz w:val="20"/>
          <w:szCs w:val="20"/>
          <w:shd w:val="clear" w:color="auto" w:fill="FFFFFF"/>
        </w:rPr>
        <w:t> </w:t>
      </w:r>
      <w:proofErr w:type="spellStart"/>
      <w:r>
        <w:rPr>
          <w:rStyle w:val="object"/>
          <w:rFonts w:ascii="Arial" w:hAnsi="Arial" w:cs="Arial"/>
          <w:color w:val="333333"/>
          <w:sz w:val="20"/>
          <w:szCs w:val="20"/>
          <w:bdr w:val="none" w:sz="0" w:space="0" w:color="auto" w:frame="1"/>
          <w:shd w:val="clear" w:color="auto" w:fill="E5E5E5"/>
        </w:rPr>
        <w:t>Varkey</w:t>
      </w:r>
      <w:proofErr w:type="spellEnd"/>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field and the contents of all data fields as a string to the</w:t>
      </w:r>
      <w:r>
        <w:rPr>
          <w:rStyle w:val="apple-converted-space"/>
          <w:rFonts w:ascii="Arial" w:hAnsi="Arial" w:cs="Arial"/>
          <w:color w:val="333333"/>
          <w:sz w:val="20"/>
          <w:szCs w:val="20"/>
          <w:shd w:val="clear" w:color="auto" w:fill="FFFFFF"/>
        </w:rPr>
        <w:t> </w:t>
      </w:r>
      <w:proofErr w:type="spellStart"/>
      <w:r>
        <w:rPr>
          <w:rStyle w:val="object"/>
          <w:rFonts w:ascii="Arial" w:hAnsi="Arial" w:cs="Arial"/>
          <w:color w:val="333333"/>
          <w:sz w:val="20"/>
          <w:szCs w:val="20"/>
          <w:bdr w:val="none" w:sz="0" w:space="0" w:color="auto" w:frame="1"/>
          <w:shd w:val="clear" w:color="auto" w:fill="E5E5E5"/>
        </w:rPr>
        <w:t>Vardata</w:t>
      </w:r>
      <w:proofErr w:type="spellEnd"/>
      <w:r>
        <w:rPr>
          <w:rStyle w:val="apple-converted-space"/>
          <w:rFonts w:ascii="Arial" w:hAnsi="Arial" w:cs="Arial"/>
          <w:color w:val="333333"/>
          <w:sz w:val="20"/>
          <w:szCs w:val="20"/>
          <w:bdr w:val="none" w:sz="0" w:space="0" w:color="auto" w:frame="1"/>
          <w:shd w:val="clear" w:color="auto" w:fill="E5E5E5"/>
        </w:rPr>
        <w:t> </w:t>
      </w:r>
      <w:r>
        <w:rPr>
          <w:rStyle w:val="object"/>
          <w:rFonts w:ascii="inherit" w:hAnsi="inherit" w:cs="Arial"/>
          <w:color w:val="333333"/>
          <w:sz w:val="20"/>
          <w:szCs w:val="20"/>
          <w:bdr w:val="none" w:sz="0" w:space="0" w:color="auto" w:frame="1"/>
          <w:shd w:val="clear" w:color="auto" w:fill="E5E5E5"/>
        </w:rPr>
        <w:t>field</w:t>
      </w:r>
      <w:r>
        <w:rPr>
          <w:rFonts w:ascii="Arial" w:hAnsi="Arial" w:cs="Arial"/>
          <w:color w:val="333333"/>
          <w:sz w:val="20"/>
          <w:szCs w:val="20"/>
          <w:shd w:val="clear" w:color="auto" w:fill="FFFFFF"/>
        </w:rPr>
        <w:t>. The database interface enters the length of the string stored in</w:t>
      </w:r>
      <w:r>
        <w:rPr>
          <w:rStyle w:val="apple-converted-space"/>
          <w:rFonts w:ascii="Arial" w:hAnsi="Arial" w:cs="Arial"/>
          <w:color w:val="333333"/>
          <w:sz w:val="20"/>
          <w:szCs w:val="20"/>
          <w:shd w:val="clear" w:color="auto" w:fill="FFFFFF"/>
        </w:rPr>
        <w:t> </w:t>
      </w:r>
      <w:proofErr w:type="spellStart"/>
      <w:r>
        <w:rPr>
          <w:rStyle w:val="object"/>
          <w:rFonts w:ascii="Arial" w:hAnsi="Arial" w:cs="Arial"/>
          <w:color w:val="333333"/>
          <w:sz w:val="20"/>
          <w:szCs w:val="20"/>
          <w:bdr w:val="none" w:sz="0" w:space="0" w:color="auto" w:frame="1"/>
          <w:shd w:val="clear" w:color="auto" w:fill="E5E5E5"/>
        </w:rPr>
        <w:t>Vardata</w:t>
      </w:r>
      <w:proofErr w:type="spellEnd"/>
      <w:r>
        <w:rPr>
          <w:rStyle w:val="apple-converted-space"/>
          <w:rFonts w:ascii="Arial" w:hAnsi="Arial" w:cs="Arial"/>
          <w:color w:val="333333"/>
          <w:sz w:val="20"/>
          <w:szCs w:val="20"/>
          <w:shd w:val="clear" w:color="auto" w:fill="FFFFFF"/>
        </w:rPr>
        <w:t> </w:t>
      </w:r>
      <w:r>
        <w:rPr>
          <w:rFonts w:ascii="Arial" w:hAnsi="Arial" w:cs="Arial"/>
          <w:color w:val="333333"/>
          <w:sz w:val="20"/>
          <w:szCs w:val="20"/>
          <w:shd w:val="clear" w:color="auto" w:fill="FFFFFF"/>
        </w:rPr>
        <w:t>in the</w:t>
      </w:r>
      <w:r>
        <w:rPr>
          <w:rStyle w:val="apple-converted-space"/>
          <w:rFonts w:ascii="Arial" w:hAnsi="Arial" w:cs="Arial"/>
          <w:color w:val="333333"/>
          <w:sz w:val="20"/>
          <w:szCs w:val="20"/>
          <w:shd w:val="clear" w:color="auto" w:fill="FFFFFF"/>
        </w:rPr>
        <w:t> </w:t>
      </w:r>
      <w:proofErr w:type="spellStart"/>
      <w:r>
        <w:rPr>
          <w:rStyle w:val="object"/>
          <w:rFonts w:ascii="Arial" w:hAnsi="Arial" w:cs="Arial"/>
          <w:color w:val="333333"/>
          <w:sz w:val="20"/>
          <w:szCs w:val="20"/>
          <w:bdr w:val="none" w:sz="0" w:space="0" w:color="auto" w:frame="1"/>
          <w:shd w:val="clear" w:color="auto" w:fill="E5E5E5"/>
        </w:rPr>
        <w:t>Dataln</w:t>
      </w:r>
      <w:proofErr w:type="spellEnd"/>
      <w:r>
        <w:rPr>
          <w:rStyle w:val="apple-converted-space"/>
          <w:rFonts w:ascii="Arial" w:hAnsi="Arial" w:cs="Arial"/>
          <w:color w:val="333333"/>
          <w:sz w:val="20"/>
          <w:szCs w:val="20"/>
          <w:bdr w:val="none" w:sz="0" w:space="0" w:color="auto" w:frame="1"/>
          <w:shd w:val="clear" w:color="auto" w:fill="E5E5E5"/>
        </w:rPr>
        <w:t> </w:t>
      </w:r>
      <w:r>
        <w:rPr>
          <w:rStyle w:val="object"/>
          <w:rFonts w:ascii="inherit" w:hAnsi="inherit" w:cs="Arial"/>
          <w:color w:val="333333"/>
          <w:sz w:val="20"/>
          <w:szCs w:val="20"/>
          <w:bdr w:val="none" w:sz="0" w:space="0" w:color="auto" w:frame="1"/>
          <w:shd w:val="clear" w:color="auto" w:fill="E5E5E5"/>
        </w:rPr>
        <w:t>field</w:t>
      </w:r>
      <w:r>
        <w:rPr>
          <w:rFonts w:ascii="Arial" w:hAnsi="Arial" w:cs="Arial"/>
          <w:color w:val="333333"/>
          <w:sz w:val="20"/>
          <w:szCs w:val="20"/>
          <w:shd w:val="clear" w:color="auto" w:fill="FFFFFF"/>
        </w:rPr>
        <w:t>. In the following figure you can see the structure of a table pool. The figure presents an example of a table pool with two assigned pooled tables</w:t>
      </w:r>
    </w:p>
    <w:p w:rsidR="00624076" w:rsidRDefault="00624076">
      <w:pPr>
        <w:rPr>
          <w:rFonts w:ascii="Arial" w:hAnsi="Arial" w:cs="Arial"/>
          <w:color w:val="333333"/>
          <w:sz w:val="20"/>
          <w:szCs w:val="20"/>
          <w:shd w:val="clear" w:color="auto" w:fill="FFFFFF"/>
        </w:rPr>
      </w:pPr>
    </w:p>
    <w:p w:rsidR="00624076" w:rsidRDefault="00624076">
      <w:r>
        <w:rPr>
          <w:noProof/>
        </w:rPr>
        <w:lastRenderedPageBreak/>
        <w:drawing>
          <wp:inline distT="0" distB="0" distL="0" distR="0" wp14:anchorId="43CC49A3" wp14:editId="02ECD817">
            <wp:extent cx="4922947" cy="3071126"/>
            <wp:effectExtent l="19050" t="19050" r="11430" b="152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22947" cy="3071126"/>
                    </a:xfrm>
                    <a:prstGeom prst="rect">
                      <a:avLst/>
                    </a:prstGeom>
                    <a:ln>
                      <a:solidFill>
                        <a:schemeClr val="accent1"/>
                      </a:solidFill>
                    </a:ln>
                  </pic:spPr>
                </pic:pic>
              </a:graphicData>
            </a:graphic>
          </wp:inline>
        </w:drawing>
      </w:r>
    </w:p>
    <w:p w:rsidR="002A2728" w:rsidRDefault="002A2728"/>
    <w:p w:rsidR="002A2728" w:rsidRDefault="002A2728" w:rsidP="002A2728">
      <w:pPr>
        <w:pStyle w:val="Heading5"/>
        <w:shd w:val="clear" w:color="auto" w:fill="FFFFFF"/>
        <w:spacing w:before="0" w:line="293" w:lineRule="atLeast"/>
        <w:textAlignment w:val="baseline"/>
        <w:rPr>
          <w:rFonts w:ascii="Arial" w:hAnsi="Arial" w:cs="Arial"/>
          <w:color w:val="666666"/>
        </w:rPr>
      </w:pPr>
      <w:r>
        <w:rPr>
          <w:rFonts w:ascii="inherit" w:hAnsi="inherit" w:cs="Arial"/>
          <w:color w:val="666666"/>
          <w:bdr w:val="none" w:sz="0" w:space="0" w:color="auto" w:frame="1"/>
        </w:rPr>
        <w:t>Constraints</w:t>
      </w:r>
    </w:p>
    <w:p w:rsidR="002A2728" w:rsidRDefault="002A2728" w:rsidP="002A2728">
      <w:pPr>
        <w:shd w:val="clear" w:color="auto" w:fill="FFFFFF"/>
        <w:textAlignment w:val="baseline"/>
        <w:rPr>
          <w:rFonts w:ascii="Arial" w:hAnsi="Arial" w:cs="Arial"/>
          <w:color w:val="333333"/>
          <w:sz w:val="20"/>
          <w:szCs w:val="20"/>
        </w:rPr>
      </w:pPr>
      <w:r>
        <w:rPr>
          <w:rFonts w:ascii="inherit" w:hAnsi="inherit" w:cs="Arial"/>
          <w:color w:val="333333"/>
          <w:sz w:val="20"/>
          <w:szCs w:val="20"/>
          <w:bdr w:val="none" w:sz="0" w:space="0" w:color="auto" w:frame="1"/>
        </w:rPr>
        <w:t>Due to the structure of a table pool, there are certain restrictions on the pooled tables assigned to it:</w:t>
      </w:r>
    </w:p>
    <w:p w:rsidR="002A2728" w:rsidRDefault="002A2728" w:rsidP="002A2728">
      <w:pPr>
        <w:pStyle w:val="ListBullet"/>
        <w:shd w:val="clear" w:color="auto" w:fill="FFFFFF"/>
        <w:spacing w:before="0" w:beforeAutospacing="0" w:after="0" w:afterAutospacing="0"/>
        <w:ind w:left="400" w:hanging="260"/>
        <w:textAlignment w:val="baseline"/>
        <w:rPr>
          <w:rFonts w:ascii="Arial" w:hAnsi="Arial" w:cs="Arial"/>
          <w:color w:val="333333"/>
          <w:sz w:val="20"/>
          <w:szCs w:val="20"/>
        </w:rPr>
      </w:pPr>
      <w:r>
        <w:rPr>
          <w:rFonts w:ascii="inherit" w:hAnsi="inherit" w:cs="Arial"/>
          <w:color w:val="333333"/>
          <w:sz w:val="20"/>
          <w:szCs w:val="20"/>
          <w:bdr w:val="none" w:sz="0" w:space="0" w:color="auto" w:frame="1"/>
        </w:rPr>
        <w:t>●</w:t>
      </w:r>
      <w:proofErr w:type="gramStart"/>
      <w:r>
        <w:rPr>
          <w:rFonts w:ascii="inherit" w:hAnsi="inherit" w:cs="Arial"/>
          <w:color w:val="333333"/>
          <w:sz w:val="20"/>
          <w:szCs w:val="20"/>
          <w:bdr w:val="none" w:sz="0" w:space="0" w:color="auto" w:frame="1"/>
        </w:rPr>
        <w:t> </w:t>
      </w:r>
      <w:r>
        <w:rPr>
          <w:rStyle w:val="apple-converted-space"/>
          <w:rFonts w:ascii="inherit" w:hAnsi="inherit" w:cs="Arial"/>
          <w:color w:val="333333"/>
          <w:sz w:val="20"/>
          <w:szCs w:val="20"/>
          <w:bdr w:val="none" w:sz="0" w:space="0" w:color="auto" w:frame="1"/>
        </w:rPr>
        <w:t> </w:t>
      </w:r>
      <w:r>
        <w:rPr>
          <w:rFonts w:ascii="inherit" w:hAnsi="inherit" w:cs="Arial"/>
          <w:color w:val="333333"/>
          <w:sz w:val="20"/>
          <w:szCs w:val="20"/>
          <w:bdr w:val="none" w:sz="0" w:space="0" w:color="auto" w:frame="1"/>
        </w:rPr>
        <w:t>The</w:t>
      </w:r>
      <w:proofErr w:type="gramEnd"/>
      <w:r>
        <w:rPr>
          <w:rFonts w:ascii="inherit" w:hAnsi="inherit" w:cs="Arial"/>
          <w:color w:val="333333"/>
          <w:sz w:val="20"/>
          <w:szCs w:val="20"/>
          <w:bdr w:val="none" w:sz="0" w:space="0" w:color="auto" w:frame="1"/>
        </w:rPr>
        <w:t xml:space="preserve"> name of a pooled table cannot exceed 10 characters.</w:t>
      </w:r>
    </w:p>
    <w:p w:rsidR="002A2728" w:rsidRDefault="002A2728" w:rsidP="002A2728">
      <w:pPr>
        <w:pStyle w:val="ListBullet"/>
        <w:shd w:val="clear" w:color="auto" w:fill="FFFFFF"/>
        <w:spacing w:before="0" w:beforeAutospacing="0" w:after="0" w:afterAutospacing="0"/>
        <w:ind w:left="400" w:hanging="260"/>
        <w:textAlignment w:val="baseline"/>
        <w:rPr>
          <w:rFonts w:ascii="Arial" w:hAnsi="Arial" w:cs="Arial"/>
          <w:color w:val="333333"/>
          <w:sz w:val="20"/>
          <w:szCs w:val="20"/>
        </w:rPr>
      </w:pPr>
      <w:r>
        <w:rPr>
          <w:rFonts w:ascii="inherit" w:hAnsi="inherit" w:cs="Arial"/>
          <w:color w:val="333333"/>
          <w:sz w:val="20"/>
          <w:szCs w:val="20"/>
          <w:bdr w:val="none" w:sz="0" w:space="0" w:color="auto" w:frame="1"/>
        </w:rPr>
        <w:t>●</w:t>
      </w:r>
      <w:proofErr w:type="gramStart"/>
      <w:r>
        <w:rPr>
          <w:rFonts w:ascii="inherit" w:hAnsi="inherit" w:cs="Arial"/>
          <w:color w:val="333333"/>
          <w:sz w:val="20"/>
          <w:szCs w:val="20"/>
          <w:bdr w:val="none" w:sz="0" w:space="0" w:color="auto" w:frame="1"/>
        </w:rPr>
        <w:t> </w:t>
      </w:r>
      <w:r>
        <w:rPr>
          <w:rStyle w:val="apple-converted-space"/>
          <w:rFonts w:ascii="inherit" w:hAnsi="inherit" w:cs="Arial"/>
          <w:color w:val="333333"/>
          <w:sz w:val="20"/>
          <w:szCs w:val="20"/>
          <w:bdr w:val="none" w:sz="0" w:space="0" w:color="auto" w:frame="1"/>
        </w:rPr>
        <w:t> </w:t>
      </w:r>
      <w:r>
        <w:rPr>
          <w:rFonts w:ascii="inherit" w:hAnsi="inherit" w:cs="Arial"/>
          <w:color w:val="333333"/>
          <w:sz w:val="20"/>
          <w:szCs w:val="20"/>
          <w:bdr w:val="none" w:sz="0" w:space="0" w:color="auto" w:frame="1"/>
        </w:rPr>
        <w:t>Since</w:t>
      </w:r>
      <w:proofErr w:type="gramEnd"/>
      <w:r>
        <w:rPr>
          <w:rStyle w:val="apple-converted-space"/>
          <w:rFonts w:ascii="inherit" w:hAnsi="inherit" w:cs="Arial"/>
          <w:color w:val="333333"/>
          <w:sz w:val="20"/>
          <w:szCs w:val="20"/>
          <w:bdr w:val="none" w:sz="0" w:space="0" w:color="auto" w:frame="1"/>
        </w:rPr>
        <w:t> </w:t>
      </w:r>
      <w:proofErr w:type="spellStart"/>
      <w:r>
        <w:rPr>
          <w:rStyle w:val="object"/>
          <w:rFonts w:ascii="inherit" w:hAnsi="inherit" w:cs="Arial"/>
          <w:color w:val="333333"/>
          <w:sz w:val="20"/>
          <w:szCs w:val="20"/>
          <w:bdr w:val="none" w:sz="0" w:space="0" w:color="auto" w:frame="1"/>
          <w:shd w:val="clear" w:color="auto" w:fill="E5E5E5"/>
        </w:rPr>
        <w:t>Varkey</w:t>
      </w:r>
      <w:proofErr w:type="spellEnd"/>
      <w:r>
        <w:rPr>
          <w:rStyle w:val="apple-converted-space"/>
          <w:rFonts w:ascii="inherit" w:hAnsi="inherit" w:cs="Arial"/>
          <w:color w:val="333333"/>
          <w:sz w:val="20"/>
          <w:szCs w:val="20"/>
          <w:bdr w:val="none" w:sz="0" w:space="0" w:color="auto" w:frame="1"/>
        </w:rPr>
        <w:t> </w:t>
      </w:r>
      <w:r>
        <w:rPr>
          <w:rFonts w:ascii="inherit" w:hAnsi="inherit" w:cs="Arial"/>
          <w:color w:val="333333"/>
          <w:sz w:val="20"/>
          <w:szCs w:val="20"/>
          <w:bdr w:val="none" w:sz="0" w:space="0" w:color="auto" w:frame="1"/>
        </w:rPr>
        <w:t>is a character field, all key fields of a pooled table must have character data types (for example, CHAR, NUMC, CLNT).</w:t>
      </w:r>
    </w:p>
    <w:p w:rsidR="002A2728" w:rsidRDefault="002A2728" w:rsidP="002A2728">
      <w:pPr>
        <w:pStyle w:val="ListBullet"/>
        <w:shd w:val="clear" w:color="auto" w:fill="FFFFFF"/>
        <w:spacing w:before="0" w:beforeAutospacing="0" w:after="0" w:afterAutospacing="0"/>
        <w:ind w:left="400" w:hanging="260"/>
        <w:textAlignment w:val="baseline"/>
        <w:rPr>
          <w:rFonts w:ascii="Arial" w:hAnsi="Arial" w:cs="Arial"/>
          <w:color w:val="333333"/>
          <w:sz w:val="20"/>
          <w:szCs w:val="20"/>
        </w:rPr>
      </w:pPr>
      <w:r>
        <w:rPr>
          <w:rFonts w:ascii="inherit" w:hAnsi="inherit" w:cs="Arial"/>
          <w:color w:val="333333"/>
          <w:sz w:val="20"/>
          <w:szCs w:val="20"/>
          <w:bdr w:val="none" w:sz="0" w:space="0" w:color="auto" w:frame="1"/>
        </w:rPr>
        <w:t>●</w:t>
      </w:r>
      <w:proofErr w:type="gramStart"/>
      <w:r>
        <w:rPr>
          <w:rFonts w:ascii="inherit" w:hAnsi="inherit" w:cs="Arial"/>
          <w:color w:val="333333"/>
          <w:sz w:val="20"/>
          <w:szCs w:val="20"/>
          <w:bdr w:val="none" w:sz="0" w:space="0" w:color="auto" w:frame="1"/>
        </w:rPr>
        <w:t> </w:t>
      </w:r>
      <w:r>
        <w:rPr>
          <w:rStyle w:val="apple-converted-space"/>
          <w:rFonts w:ascii="inherit" w:hAnsi="inherit" w:cs="Arial"/>
          <w:color w:val="333333"/>
          <w:sz w:val="20"/>
          <w:szCs w:val="20"/>
          <w:bdr w:val="none" w:sz="0" w:space="0" w:color="auto" w:frame="1"/>
        </w:rPr>
        <w:t> </w:t>
      </w:r>
      <w:r>
        <w:rPr>
          <w:rFonts w:ascii="inherit" w:hAnsi="inherit" w:cs="Arial"/>
          <w:color w:val="333333"/>
          <w:sz w:val="20"/>
          <w:szCs w:val="20"/>
          <w:bdr w:val="none" w:sz="0" w:space="0" w:color="auto" w:frame="1"/>
        </w:rPr>
        <w:t>The</w:t>
      </w:r>
      <w:proofErr w:type="gramEnd"/>
      <w:r>
        <w:rPr>
          <w:rFonts w:ascii="inherit" w:hAnsi="inherit" w:cs="Arial"/>
          <w:color w:val="333333"/>
          <w:sz w:val="20"/>
          <w:szCs w:val="20"/>
          <w:bdr w:val="none" w:sz="0" w:space="0" w:color="auto" w:frame="1"/>
        </w:rPr>
        <w:t xml:space="preserve"> total length of all key fields or all data fields of a pooled table must not exceed the length of the</w:t>
      </w:r>
      <w:r>
        <w:rPr>
          <w:rStyle w:val="apple-converted-space"/>
          <w:rFonts w:ascii="inherit" w:hAnsi="inherit" w:cs="Arial"/>
          <w:color w:val="333333"/>
          <w:sz w:val="20"/>
          <w:szCs w:val="20"/>
          <w:bdr w:val="none" w:sz="0" w:space="0" w:color="auto" w:frame="1"/>
        </w:rPr>
        <w:t> </w:t>
      </w:r>
      <w:proofErr w:type="spellStart"/>
      <w:r>
        <w:rPr>
          <w:rStyle w:val="object"/>
          <w:rFonts w:ascii="inherit" w:hAnsi="inherit" w:cs="Arial"/>
          <w:color w:val="333333"/>
          <w:sz w:val="20"/>
          <w:szCs w:val="20"/>
          <w:bdr w:val="none" w:sz="0" w:space="0" w:color="auto" w:frame="1"/>
          <w:shd w:val="clear" w:color="auto" w:fill="E5E5E5"/>
        </w:rPr>
        <w:t>Varkey</w:t>
      </w:r>
      <w:proofErr w:type="spellEnd"/>
      <w:r>
        <w:rPr>
          <w:rStyle w:val="apple-converted-space"/>
          <w:rFonts w:ascii="inherit" w:hAnsi="inherit" w:cs="Arial"/>
          <w:color w:val="333333"/>
          <w:sz w:val="20"/>
          <w:szCs w:val="20"/>
          <w:bdr w:val="none" w:sz="0" w:space="0" w:color="auto" w:frame="1"/>
        </w:rPr>
        <w:t> </w:t>
      </w:r>
      <w:r>
        <w:rPr>
          <w:rFonts w:ascii="inherit" w:hAnsi="inherit" w:cs="Arial"/>
          <w:color w:val="333333"/>
          <w:sz w:val="20"/>
          <w:szCs w:val="20"/>
          <w:bdr w:val="none" w:sz="0" w:space="0" w:color="auto" w:frame="1"/>
        </w:rPr>
        <w:t>or</w:t>
      </w:r>
      <w:r>
        <w:rPr>
          <w:rStyle w:val="apple-converted-space"/>
          <w:rFonts w:ascii="inherit" w:hAnsi="inherit" w:cs="Arial"/>
          <w:color w:val="333333"/>
          <w:sz w:val="20"/>
          <w:szCs w:val="20"/>
          <w:bdr w:val="none" w:sz="0" w:space="0" w:color="auto" w:frame="1"/>
        </w:rPr>
        <w:t> </w:t>
      </w:r>
      <w:proofErr w:type="spellStart"/>
      <w:r>
        <w:rPr>
          <w:rStyle w:val="object"/>
          <w:rFonts w:ascii="inherit" w:hAnsi="inherit" w:cs="Arial"/>
          <w:color w:val="333333"/>
          <w:sz w:val="20"/>
          <w:szCs w:val="20"/>
          <w:bdr w:val="none" w:sz="0" w:space="0" w:color="auto" w:frame="1"/>
          <w:shd w:val="clear" w:color="auto" w:fill="E5E5E5"/>
        </w:rPr>
        <w:t>Vardata</w:t>
      </w:r>
      <w:proofErr w:type="spellEnd"/>
      <w:r>
        <w:rPr>
          <w:rStyle w:val="apple-converted-space"/>
          <w:rFonts w:ascii="inherit" w:hAnsi="inherit" w:cs="Arial"/>
          <w:color w:val="333333"/>
          <w:sz w:val="20"/>
          <w:szCs w:val="20"/>
          <w:bdr w:val="none" w:sz="0" w:space="0" w:color="auto" w:frame="1"/>
        </w:rPr>
        <w:t> </w:t>
      </w:r>
      <w:r>
        <w:rPr>
          <w:rFonts w:ascii="inherit" w:hAnsi="inherit" w:cs="Arial"/>
          <w:color w:val="333333"/>
          <w:sz w:val="20"/>
          <w:szCs w:val="20"/>
          <w:bdr w:val="none" w:sz="0" w:space="0" w:color="auto" w:frame="1"/>
        </w:rPr>
        <w:t>field of the corresponding pool.</w:t>
      </w:r>
    </w:p>
    <w:p w:rsidR="002A2728" w:rsidRDefault="002A2728" w:rsidP="002A2728">
      <w:pPr>
        <w:pStyle w:val="Heading4"/>
        <w:shd w:val="clear" w:color="auto" w:fill="FFFFFF"/>
        <w:spacing w:before="0" w:beforeAutospacing="0" w:after="0" w:afterAutospacing="0" w:line="360" w:lineRule="atLeast"/>
        <w:textAlignment w:val="baseline"/>
        <w:rPr>
          <w:rFonts w:ascii="Arial" w:hAnsi="Arial" w:cs="Arial"/>
          <w:color w:val="666666"/>
        </w:rPr>
      </w:pPr>
      <w:r>
        <w:rPr>
          <w:rFonts w:ascii="inherit" w:hAnsi="inherit" w:cs="Arial"/>
          <w:color w:val="666666"/>
          <w:bdr w:val="none" w:sz="0" w:space="0" w:color="auto" w:frame="1"/>
        </w:rPr>
        <w:t>Table Clusters</w:t>
      </w:r>
    </w:p>
    <w:p w:rsidR="002A2728" w:rsidRDefault="002A2728" w:rsidP="002A2728">
      <w:pPr>
        <w:shd w:val="clear" w:color="auto" w:fill="FFFFFF"/>
        <w:textAlignment w:val="baseline"/>
        <w:rPr>
          <w:rFonts w:ascii="Arial" w:hAnsi="Arial" w:cs="Arial"/>
          <w:color w:val="333333"/>
          <w:sz w:val="20"/>
          <w:szCs w:val="20"/>
        </w:rPr>
      </w:pPr>
      <w:r>
        <w:rPr>
          <w:rFonts w:ascii="inherit" w:hAnsi="inherit" w:cs="Arial"/>
          <w:color w:val="333333"/>
          <w:sz w:val="20"/>
          <w:szCs w:val="20"/>
          <w:bdr w:val="none" w:sz="0" w:space="0" w:color="auto" w:frame="1"/>
        </w:rPr>
        <w:t>Several logical data records from different cluster tables can be stored together in one physical record in a table cluster.</w:t>
      </w:r>
    </w:p>
    <w:p w:rsidR="002A2728" w:rsidRDefault="002A2728" w:rsidP="002A2728">
      <w:pPr>
        <w:shd w:val="clear" w:color="auto" w:fill="FFFFFF"/>
        <w:textAlignment w:val="baseline"/>
        <w:rPr>
          <w:rFonts w:ascii="Arial" w:hAnsi="Arial" w:cs="Arial"/>
          <w:color w:val="333333"/>
          <w:sz w:val="20"/>
          <w:szCs w:val="20"/>
        </w:rPr>
      </w:pPr>
      <w:r>
        <w:rPr>
          <w:rFonts w:ascii="inherit" w:hAnsi="inherit" w:cs="Arial"/>
          <w:color w:val="333333"/>
          <w:sz w:val="20"/>
          <w:szCs w:val="20"/>
          <w:bdr w:val="none" w:sz="0" w:space="0" w:color="auto" w:frame="1"/>
        </w:rPr>
        <w:t>A cluster key consists of a series of freely definable key fields and a field (</w:t>
      </w:r>
      <w:proofErr w:type="spellStart"/>
      <w:r>
        <w:rPr>
          <w:rStyle w:val="object"/>
          <w:rFonts w:ascii="inherit" w:hAnsi="inherit" w:cs="Arial"/>
          <w:color w:val="333333"/>
          <w:sz w:val="20"/>
          <w:szCs w:val="20"/>
          <w:bdr w:val="none" w:sz="0" w:space="0" w:color="auto" w:frame="1"/>
          <w:shd w:val="clear" w:color="auto" w:fill="E5E5E5"/>
        </w:rPr>
        <w:t>Pageno</w:t>
      </w:r>
      <w:proofErr w:type="spellEnd"/>
      <w:r>
        <w:rPr>
          <w:rFonts w:ascii="inherit" w:hAnsi="inherit" w:cs="Arial"/>
          <w:color w:val="333333"/>
          <w:sz w:val="20"/>
          <w:szCs w:val="20"/>
          <w:bdr w:val="none" w:sz="0" w:space="0" w:color="auto" w:frame="1"/>
        </w:rPr>
        <w:t>) for distinguishing continuation records. A cluster also contains a long field (</w:t>
      </w:r>
      <w:proofErr w:type="spellStart"/>
      <w:r>
        <w:rPr>
          <w:rStyle w:val="object"/>
          <w:rFonts w:ascii="inherit" w:hAnsi="inherit" w:cs="Arial"/>
          <w:color w:val="333333"/>
          <w:sz w:val="20"/>
          <w:szCs w:val="20"/>
          <w:bdr w:val="none" w:sz="0" w:space="0" w:color="auto" w:frame="1"/>
          <w:shd w:val="clear" w:color="auto" w:fill="E5E5E5"/>
        </w:rPr>
        <w:t>Vardata</w:t>
      </w:r>
      <w:proofErr w:type="spellEnd"/>
      <w:r>
        <w:rPr>
          <w:rFonts w:ascii="inherit" w:hAnsi="inherit" w:cs="Arial"/>
          <w:color w:val="333333"/>
          <w:sz w:val="20"/>
          <w:szCs w:val="20"/>
          <w:bdr w:val="none" w:sz="0" w:space="0" w:color="auto" w:frame="1"/>
        </w:rPr>
        <w:t>) that contains the contents of the data fields of the cluster tables for this key. If the data does not fit into the long field, the system creates continuation records. Furthermore, control information about the structure of the data string is written at the beginning of the</w:t>
      </w:r>
      <w:r>
        <w:rPr>
          <w:rStyle w:val="apple-converted-space"/>
          <w:rFonts w:ascii="inherit" w:hAnsi="inherit" w:cs="Arial"/>
          <w:color w:val="333333"/>
          <w:sz w:val="20"/>
          <w:szCs w:val="20"/>
          <w:bdr w:val="none" w:sz="0" w:space="0" w:color="auto" w:frame="1"/>
        </w:rPr>
        <w:t> </w:t>
      </w:r>
      <w:proofErr w:type="spellStart"/>
      <w:r>
        <w:rPr>
          <w:rStyle w:val="object"/>
          <w:rFonts w:ascii="inherit" w:hAnsi="inherit" w:cs="Arial"/>
          <w:color w:val="333333"/>
          <w:sz w:val="20"/>
          <w:szCs w:val="20"/>
          <w:bdr w:val="none" w:sz="0" w:space="0" w:color="auto" w:frame="1"/>
          <w:shd w:val="clear" w:color="auto" w:fill="E5E5E5"/>
        </w:rPr>
        <w:t>Vardata</w:t>
      </w:r>
      <w:proofErr w:type="spellEnd"/>
      <w:r>
        <w:rPr>
          <w:rStyle w:val="apple-converted-space"/>
          <w:rFonts w:ascii="inherit" w:hAnsi="inherit" w:cs="Arial"/>
          <w:color w:val="333333"/>
          <w:sz w:val="20"/>
          <w:szCs w:val="20"/>
          <w:bdr w:val="none" w:sz="0" w:space="0" w:color="auto" w:frame="1"/>
        </w:rPr>
        <w:t> </w:t>
      </w:r>
      <w:r>
        <w:rPr>
          <w:rFonts w:ascii="inherit" w:hAnsi="inherit" w:cs="Arial"/>
          <w:color w:val="333333"/>
          <w:sz w:val="20"/>
          <w:szCs w:val="20"/>
          <w:bdr w:val="none" w:sz="0" w:space="0" w:color="auto" w:frame="1"/>
        </w:rPr>
        <w:t>field. A table cluster has the following structure</w:t>
      </w:r>
    </w:p>
    <w:p w:rsidR="002A2728" w:rsidRDefault="002A2728">
      <w:r>
        <w:rPr>
          <w:noProof/>
        </w:rPr>
        <w:lastRenderedPageBreak/>
        <w:drawing>
          <wp:inline distT="0" distB="0" distL="0" distR="0" wp14:anchorId="7C1EE047" wp14:editId="0E1962AF">
            <wp:extent cx="5943600" cy="25876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87625"/>
                    </a:xfrm>
                    <a:prstGeom prst="rect">
                      <a:avLst/>
                    </a:prstGeom>
                  </pic:spPr>
                </pic:pic>
              </a:graphicData>
            </a:graphic>
          </wp:inline>
        </w:drawing>
      </w:r>
    </w:p>
    <w:p w:rsidR="00E11299" w:rsidRDefault="002A2728" w:rsidP="002A2728">
      <w:pPr>
        <w:shd w:val="clear" w:color="auto" w:fill="FFFFFF"/>
        <w:spacing w:after="0" w:line="240" w:lineRule="auto"/>
        <w:textAlignment w:val="baseline"/>
        <w:rPr>
          <w:rFonts w:ascii="inherit" w:eastAsia="Times New Roman" w:hAnsi="inherit" w:cs="Arial"/>
          <w:color w:val="333333"/>
          <w:sz w:val="20"/>
          <w:szCs w:val="20"/>
          <w:bdr w:val="none" w:sz="0" w:space="0" w:color="auto" w:frame="1"/>
        </w:rPr>
      </w:pPr>
      <w:r w:rsidRPr="002A2728">
        <w:rPr>
          <w:rFonts w:ascii="inherit" w:eastAsia="Times New Roman" w:hAnsi="inherit" w:cs="Arial"/>
          <w:color w:val="333333"/>
          <w:sz w:val="20"/>
          <w:szCs w:val="20"/>
          <w:bdr w:val="none" w:sz="0" w:space="0" w:color="auto" w:frame="1"/>
        </w:rPr>
        <w:t>The records of all cluster tables with the same key are stored under one key in the assigned table cluster. The values of the key fields are stored in the corresponding key fields of the table cluster. The values of all data fields of the assigned cluster tables are written as a string to the </w:t>
      </w:r>
      <w:proofErr w:type="spellStart"/>
      <w:r w:rsidRPr="002A2728">
        <w:rPr>
          <w:rFonts w:ascii="inherit" w:eastAsia="Times New Roman" w:hAnsi="inherit" w:cs="Arial"/>
          <w:color w:val="333333"/>
          <w:sz w:val="20"/>
          <w:szCs w:val="20"/>
          <w:bdr w:val="none" w:sz="0" w:space="0" w:color="auto" w:frame="1"/>
          <w:shd w:val="clear" w:color="auto" w:fill="E5E5E5"/>
        </w:rPr>
        <w:t>Vardata</w:t>
      </w:r>
      <w:proofErr w:type="spellEnd"/>
      <w:r w:rsidRPr="002A2728">
        <w:rPr>
          <w:rFonts w:ascii="inherit" w:eastAsia="Times New Roman" w:hAnsi="inherit" w:cs="Arial"/>
          <w:color w:val="333333"/>
          <w:sz w:val="20"/>
          <w:szCs w:val="20"/>
          <w:bdr w:val="none" w:sz="0" w:space="0" w:color="auto" w:frame="1"/>
        </w:rPr>
        <w:t> field of the table cluster.</w:t>
      </w:r>
    </w:p>
    <w:p w:rsidR="002A2728" w:rsidRPr="002A2728" w:rsidRDefault="002A2728" w:rsidP="002A2728">
      <w:pPr>
        <w:shd w:val="clear" w:color="auto" w:fill="FFFFFF"/>
        <w:spacing w:after="0" w:line="240" w:lineRule="auto"/>
        <w:textAlignment w:val="baseline"/>
        <w:rPr>
          <w:rFonts w:ascii="Arial" w:eastAsia="Times New Roman" w:hAnsi="Arial" w:cs="Arial"/>
          <w:color w:val="333333"/>
          <w:sz w:val="20"/>
          <w:szCs w:val="20"/>
        </w:rPr>
      </w:pPr>
      <w:bookmarkStart w:id="0" w:name="_GoBack"/>
      <w:bookmarkEnd w:id="0"/>
      <w:r w:rsidRPr="002A2728">
        <w:rPr>
          <w:rFonts w:ascii="inherit" w:eastAsia="Times New Roman" w:hAnsi="inherit" w:cs="Arial"/>
          <w:color w:val="333333"/>
          <w:sz w:val="20"/>
          <w:szCs w:val="20"/>
          <w:bdr w:val="none" w:sz="0" w:space="0" w:color="auto" w:frame="1"/>
        </w:rPr>
        <w:t>Besides the actual data values, the data string contains information about the structure of the data and which table it comes from. If the string exceeds the maximum length of the </w:t>
      </w:r>
      <w:proofErr w:type="spellStart"/>
      <w:r w:rsidRPr="002A2728">
        <w:rPr>
          <w:rFonts w:ascii="inherit" w:eastAsia="Times New Roman" w:hAnsi="inherit" w:cs="Arial"/>
          <w:color w:val="333333"/>
          <w:sz w:val="20"/>
          <w:szCs w:val="20"/>
          <w:bdr w:val="none" w:sz="0" w:space="0" w:color="auto" w:frame="1"/>
          <w:shd w:val="clear" w:color="auto" w:fill="E5E5E5"/>
        </w:rPr>
        <w:t>Vardata</w:t>
      </w:r>
      <w:proofErr w:type="spellEnd"/>
      <w:r w:rsidRPr="002A2728">
        <w:rPr>
          <w:rFonts w:ascii="inherit" w:eastAsia="Times New Roman" w:hAnsi="inherit" w:cs="Arial"/>
          <w:color w:val="333333"/>
          <w:sz w:val="20"/>
          <w:szCs w:val="20"/>
          <w:bdr w:val="none" w:sz="0" w:space="0" w:color="auto" w:frame="1"/>
        </w:rPr>
        <w:t> field, the system writes a continuation record with the same key values. The continuation records for a key are distinguished by their value in the </w:t>
      </w:r>
      <w:proofErr w:type="spellStart"/>
      <w:r w:rsidRPr="002A2728">
        <w:rPr>
          <w:rFonts w:ascii="inherit" w:eastAsia="Times New Roman" w:hAnsi="inherit" w:cs="Arial"/>
          <w:color w:val="333333"/>
          <w:sz w:val="20"/>
          <w:szCs w:val="20"/>
          <w:bdr w:val="none" w:sz="0" w:space="0" w:color="auto" w:frame="1"/>
          <w:shd w:val="clear" w:color="auto" w:fill="E5E5E5"/>
        </w:rPr>
        <w:t>Pageno</w:t>
      </w:r>
      <w:proofErr w:type="spellEnd"/>
      <w:r w:rsidRPr="002A2728">
        <w:rPr>
          <w:rFonts w:ascii="inherit" w:eastAsia="Times New Roman" w:hAnsi="inherit" w:cs="Arial"/>
          <w:color w:val="333333"/>
          <w:sz w:val="20"/>
          <w:szCs w:val="20"/>
          <w:bdr w:val="none" w:sz="0" w:space="0" w:color="auto" w:frame="1"/>
          <w:shd w:val="clear" w:color="auto" w:fill="E5E5E5"/>
        </w:rPr>
        <w:t> field</w:t>
      </w:r>
      <w:r w:rsidRPr="002A2728">
        <w:rPr>
          <w:rFonts w:ascii="inherit" w:eastAsia="Times New Roman" w:hAnsi="inherit" w:cs="Arial"/>
          <w:color w:val="333333"/>
          <w:sz w:val="20"/>
          <w:szCs w:val="20"/>
          <w:bdr w:val="none" w:sz="0" w:space="0" w:color="auto" w:frame="1"/>
        </w:rPr>
        <w:t>. The actual length of the string in the </w:t>
      </w:r>
      <w:proofErr w:type="spellStart"/>
      <w:r w:rsidRPr="002A2728">
        <w:rPr>
          <w:rFonts w:ascii="inherit" w:eastAsia="Times New Roman" w:hAnsi="inherit" w:cs="Arial"/>
          <w:color w:val="333333"/>
          <w:sz w:val="20"/>
          <w:szCs w:val="20"/>
          <w:bdr w:val="none" w:sz="0" w:space="0" w:color="auto" w:frame="1"/>
          <w:shd w:val="clear" w:color="auto" w:fill="E5E5E5"/>
        </w:rPr>
        <w:t>Vardata</w:t>
      </w:r>
      <w:proofErr w:type="spellEnd"/>
      <w:r w:rsidRPr="002A2728">
        <w:rPr>
          <w:rFonts w:ascii="inherit" w:eastAsia="Times New Roman" w:hAnsi="inherit" w:cs="Arial"/>
          <w:color w:val="333333"/>
          <w:sz w:val="20"/>
          <w:szCs w:val="20"/>
          <w:bdr w:val="none" w:sz="0" w:space="0" w:color="auto" w:frame="1"/>
        </w:rPr>
        <w:t> field is stored in the </w:t>
      </w:r>
      <w:proofErr w:type="spellStart"/>
      <w:r w:rsidRPr="002A2728">
        <w:rPr>
          <w:rFonts w:ascii="inherit" w:eastAsia="Times New Roman" w:hAnsi="inherit" w:cs="Arial"/>
          <w:color w:val="333333"/>
          <w:sz w:val="20"/>
          <w:szCs w:val="20"/>
          <w:bdr w:val="none" w:sz="0" w:space="0" w:color="auto" w:frame="1"/>
          <w:shd w:val="clear" w:color="auto" w:fill="E5E5E5"/>
        </w:rPr>
        <w:t>Pagelg</w:t>
      </w:r>
      <w:proofErr w:type="spellEnd"/>
      <w:r w:rsidRPr="002A2728">
        <w:rPr>
          <w:rFonts w:ascii="inherit" w:eastAsia="Times New Roman" w:hAnsi="inherit" w:cs="Arial"/>
          <w:color w:val="333333"/>
          <w:sz w:val="20"/>
          <w:szCs w:val="20"/>
          <w:bdr w:val="none" w:sz="0" w:space="0" w:color="auto" w:frame="1"/>
        </w:rPr>
        <w:t> field by the database interface.</w:t>
      </w:r>
    </w:p>
    <w:p w:rsidR="002A2728" w:rsidRPr="002A2728" w:rsidRDefault="002A2728" w:rsidP="002A2728">
      <w:pPr>
        <w:shd w:val="clear" w:color="auto" w:fill="FFFFFF"/>
        <w:spacing w:after="0" w:line="240" w:lineRule="auto"/>
        <w:textAlignment w:val="baseline"/>
        <w:rPr>
          <w:rFonts w:ascii="Arial" w:eastAsia="Times New Roman" w:hAnsi="Arial" w:cs="Arial"/>
          <w:color w:val="333333"/>
          <w:sz w:val="20"/>
          <w:szCs w:val="20"/>
        </w:rPr>
      </w:pPr>
      <w:r w:rsidRPr="002A2728">
        <w:rPr>
          <w:rFonts w:ascii="inherit" w:eastAsia="Times New Roman" w:hAnsi="inherit" w:cs="Arial"/>
          <w:color w:val="333333"/>
          <w:sz w:val="20"/>
          <w:szCs w:val="20"/>
          <w:bdr w:val="none" w:sz="0" w:space="0" w:color="auto" w:frame="1"/>
        </w:rPr>
        <w:t>In the following figure, you can see the structure of a table cluster. The figure presents an example of a table cluster which contains two cluster tables.</w:t>
      </w:r>
    </w:p>
    <w:p w:rsidR="002A2728" w:rsidRDefault="002A2728">
      <w:r>
        <w:rPr>
          <w:noProof/>
        </w:rPr>
        <w:drawing>
          <wp:inline distT="0" distB="0" distL="0" distR="0" wp14:anchorId="348C540E" wp14:editId="212773ED">
            <wp:extent cx="5075360" cy="2850127"/>
            <wp:effectExtent l="19050" t="19050" r="1143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75360" cy="2850127"/>
                    </a:xfrm>
                    <a:prstGeom prst="rect">
                      <a:avLst/>
                    </a:prstGeom>
                    <a:ln>
                      <a:solidFill>
                        <a:schemeClr val="accent1"/>
                      </a:solidFill>
                    </a:ln>
                  </pic:spPr>
                </pic:pic>
              </a:graphicData>
            </a:graphic>
          </wp:inline>
        </w:drawing>
      </w:r>
    </w:p>
    <w:sectPr w:rsidR="002A2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076"/>
    <w:rsid w:val="002A2728"/>
    <w:rsid w:val="00624076"/>
    <w:rsid w:val="00BC235A"/>
    <w:rsid w:val="00E112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73E202-29F5-4F1A-9D07-908ECC065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240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240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407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2A272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7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2407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4076"/>
    <w:rPr>
      <w:rFonts w:ascii="Times New Roman" w:eastAsia="Times New Roman" w:hAnsi="Times New Roman" w:cs="Times New Roman"/>
      <w:b/>
      <w:bCs/>
      <w:sz w:val="24"/>
      <w:szCs w:val="24"/>
    </w:rPr>
  </w:style>
  <w:style w:type="character" w:customStyle="1" w:styleId="object">
    <w:name w:val="object"/>
    <w:basedOn w:val="DefaultParagraphFont"/>
    <w:rsid w:val="00624076"/>
  </w:style>
  <w:style w:type="character" w:customStyle="1" w:styleId="apple-converted-space">
    <w:name w:val="apple-converted-space"/>
    <w:basedOn w:val="DefaultParagraphFont"/>
    <w:rsid w:val="00624076"/>
  </w:style>
  <w:style w:type="character" w:customStyle="1" w:styleId="Heading5Char">
    <w:name w:val="Heading 5 Char"/>
    <w:basedOn w:val="DefaultParagraphFont"/>
    <w:link w:val="Heading5"/>
    <w:uiPriority w:val="9"/>
    <w:semiHidden/>
    <w:rsid w:val="002A2728"/>
    <w:rPr>
      <w:rFonts w:asciiTheme="majorHAnsi" w:eastAsiaTheme="majorEastAsia" w:hAnsiTheme="majorHAnsi" w:cstheme="majorBidi"/>
      <w:color w:val="2E74B5" w:themeColor="accent1" w:themeShade="BF"/>
    </w:rPr>
  </w:style>
  <w:style w:type="paragraph" w:styleId="ListBullet">
    <w:name w:val="List Bullet"/>
    <w:basedOn w:val="Normal"/>
    <w:uiPriority w:val="99"/>
    <w:semiHidden/>
    <w:unhideWhenUsed/>
    <w:rsid w:val="002A272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184198">
      <w:bodyDiv w:val="1"/>
      <w:marLeft w:val="0"/>
      <w:marRight w:val="0"/>
      <w:marTop w:val="0"/>
      <w:marBottom w:val="0"/>
      <w:divBdr>
        <w:top w:val="none" w:sz="0" w:space="0" w:color="auto"/>
        <w:left w:val="none" w:sz="0" w:space="0" w:color="auto"/>
        <w:bottom w:val="none" w:sz="0" w:space="0" w:color="auto"/>
        <w:right w:val="none" w:sz="0" w:space="0" w:color="auto"/>
      </w:divBdr>
    </w:div>
    <w:div w:id="912591525">
      <w:bodyDiv w:val="1"/>
      <w:marLeft w:val="0"/>
      <w:marRight w:val="0"/>
      <w:marTop w:val="0"/>
      <w:marBottom w:val="0"/>
      <w:divBdr>
        <w:top w:val="none" w:sz="0" w:space="0" w:color="auto"/>
        <w:left w:val="none" w:sz="0" w:space="0" w:color="auto"/>
        <w:bottom w:val="none" w:sz="0" w:space="0" w:color="auto"/>
        <w:right w:val="none" w:sz="0" w:space="0" w:color="auto"/>
      </w:divBdr>
    </w:div>
    <w:div w:id="21245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Koleshwar, Vandana</dc:creator>
  <cp:keywords/>
  <dc:description/>
  <cp:lastModifiedBy>Koleshwar, Vandana</cp:lastModifiedBy>
  <cp:revision>3</cp:revision>
  <dcterms:created xsi:type="dcterms:W3CDTF">2017-01-12T11:19:00Z</dcterms:created>
  <dcterms:modified xsi:type="dcterms:W3CDTF">2017-05-23T04:57:00Z</dcterms:modified>
</cp:coreProperties>
</file>