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A298E" w14:textId="77777777" w:rsidR="007362C6" w:rsidRPr="002E0F4A" w:rsidRDefault="001C0581" w:rsidP="002E0F4A">
      <w:pPr>
        <w:jc w:val="both"/>
        <w:rPr>
          <w:sz w:val="32"/>
          <w:szCs w:val="32"/>
        </w:rPr>
      </w:pPr>
      <w:r w:rsidRPr="002E0F4A">
        <w:rPr>
          <w:sz w:val="32"/>
          <w:szCs w:val="32"/>
        </w:rPr>
        <w:t xml:space="preserve">What is a table </w:t>
      </w:r>
      <w:r w:rsidR="00987BF8" w:rsidRPr="002E0F4A">
        <w:rPr>
          <w:sz w:val="32"/>
          <w:szCs w:val="32"/>
        </w:rPr>
        <w:t>maintenance generator?</w:t>
      </w:r>
    </w:p>
    <w:p w14:paraId="11558A4C" w14:textId="77777777" w:rsidR="002E0F4A" w:rsidRDefault="00987BF8" w:rsidP="002E0F4A">
      <w:pPr>
        <w:jc w:val="both"/>
        <w:rPr>
          <w:color w:val="444444"/>
          <w:sz w:val="32"/>
          <w:szCs w:val="32"/>
          <w:shd w:val="clear" w:color="auto" w:fill="FFFFFF"/>
        </w:rPr>
      </w:pPr>
      <w:r w:rsidRPr="002E0F4A">
        <w:rPr>
          <w:color w:val="444444"/>
          <w:sz w:val="32"/>
          <w:szCs w:val="32"/>
          <w:shd w:val="clear" w:color="auto" w:fill="FFFFFF"/>
        </w:rPr>
        <w:t>SAP Table Maintenance Generator (TMG) is a tool, used to create a table maintenance program, which can be customized, to be used by the end users to maintain the table for example, user can create a new entry in the table, can change the existing data, and can delete the data. </w:t>
      </w:r>
      <w:r w:rsidRPr="002E0F4A">
        <w:rPr>
          <w:color w:val="444444"/>
          <w:sz w:val="32"/>
          <w:szCs w:val="32"/>
        </w:rPr>
        <w:br/>
      </w:r>
      <w:r w:rsidRPr="002E0F4A">
        <w:rPr>
          <w:color w:val="444444"/>
          <w:sz w:val="32"/>
          <w:szCs w:val="32"/>
        </w:rPr>
        <w:br/>
      </w:r>
      <w:r w:rsidRPr="002E0F4A">
        <w:rPr>
          <w:color w:val="444444"/>
          <w:sz w:val="32"/>
          <w:szCs w:val="32"/>
          <w:shd w:val="clear" w:color="auto" w:fill="FFFFFF"/>
        </w:rPr>
        <w:t>To create Table Maintenance Generator (TMG) you can go to SE11 t-code and then enter the table name and then click on change button. Go to Utilities -&gt; Table Maintenance Generator.</w:t>
      </w:r>
    </w:p>
    <w:p w14:paraId="4D89181C" w14:textId="2397DCB9" w:rsidR="00987BF8" w:rsidRPr="002E0F4A" w:rsidRDefault="00987BF8" w:rsidP="002E0F4A">
      <w:pPr>
        <w:jc w:val="both"/>
        <w:rPr>
          <w:color w:val="444444"/>
          <w:sz w:val="32"/>
          <w:szCs w:val="32"/>
          <w:shd w:val="clear" w:color="auto" w:fill="FFFFFF"/>
        </w:rPr>
      </w:pPr>
      <w:r w:rsidRPr="002E0F4A">
        <w:rPr>
          <w:color w:val="444444"/>
          <w:sz w:val="32"/>
          <w:szCs w:val="32"/>
          <w:shd w:val="clear" w:color="auto" w:fill="FFFFFF"/>
        </w:rPr>
        <w:t>Alternatively, you can access directly by using transaction code - SE54. </w:t>
      </w:r>
    </w:p>
    <w:p w14:paraId="1921C413" w14:textId="77777777" w:rsidR="004A6649" w:rsidRDefault="00987BF8" w:rsidP="002E0F4A">
      <w:pPr>
        <w:jc w:val="both"/>
        <w:rPr>
          <w:rStyle w:val="Strong"/>
          <w:color w:val="444444"/>
          <w:sz w:val="32"/>
          <w:szCs w:val="32"/>
          <w:shd w:val="clear" w:color="auto" w:fill="FFFFFF"/>
        </w:rPr>
      </w:pPr>
      <w:r w:rsidRPr="002E0F4A">
        <w:rPr>
          <w:rStyle w:val="Strong"/>
          <w:color w:val="444444"/>
          <w:sz w:val="32"/>
          <w:szCs w:val="32"/>
          <w:shd w:val="clear" w:color="auto" w:fill="FFFFFF"/>
        </w:rPr>
        <w:t>Why we need to use Table Maintenance Generator?</w:t>
      </w:r>
    </w:p>
    <w:p w14:paraId="7565AFA6" w14:textId="3A11FAA6" w:rsidR="00021EC6" w:rsidRPr="00DF6FC9" w:rsidRDefault="00987BF8" w:rsidP="002E0F4A">
      <w:pPr>
        <w:jc w:val="both"/>
        <w:rPr>
          <w:color w:val="444444"/>
          <w:sz w:val="32"/>
          <w:szCs w:val="32"/>
          <w:shd w:val="clear" w:color="auto" w:fill="FFFFFF"/>
        </w:rPr>
      </w:pPr>
      <w:r w:rsidRPr="002E0F4A">
        <w:rPr>
          <w:color w:val="444444"/>
          <w:sz w:val="32"/>
          <w:szCs w:val="32"/>
          <w:shd w:val="clear" w:color="auto" w:fill="FFFFFF"/>
        </w:rPr>
        <w:t xml:space="preserve">In production systems, the end-users generally do not have access to SE11 </w:t>
      </w:r>
      <w:r w:rsidR="00833328" w:rsidRPr="002E0F4A">
        <w:rPr>
          <w:color w:val="444444"/>
          <w:sz w:val="32"/>
          <w:szCs w:val="32"/>
          <w:shd w:val="clear" w:color="auto" w:fill="FFFFFF"/>
        </w:rPr>
        <w:t>or Se16</w:t>
      </w:r>
      <w:r w:rsidRPr="002E0F4A">
        <w:rPr>
          <w:color w:val="444444"/>
          <w:sz w:val="32"/>
          <w:szCs w:val="32"/>
          <w:shd w:val="clear" w:color="auto" w:fill="FFFFFF"/>
        </w:rPr>
        <w:t xml:space="preserve"> transaction code. So, if they need to maintain this </w:t>
      </w:r>
      <w:r w:rsidR="002E0F4A" w:rsidRPr="002E0F4A">
        <w:rPr>
          <w:color w:val="444444"/>
          <w:sz w:val="32"/>
          <w:szCs w:val="32"/>
          <w:shd w:val="clear" w:color="auto" w:fill="FFFFFF"/>
        </w:rPr>
        <w:t>table,</w:t>
      </w:r>
      <w:r w:rsidRPr="002E0F4A">
        <w:rPr>
          <w:color w:val="444444"/>
          <w:sz w:val="32"/>
          <w:szCs w:val="32"/>
          <w:shd w:val="clear" w:color="auto" w:fill="FFFFFF"/>
        </w:rPr>
        <w:t xml:space="preserve"> they need an alternate way to do so. </w:t>
      </w:r>
    </w:p>
    <w:p w14:paraId="6332F1DB" w14:textId="17222E42" w:rsidR="002E0F4A" w:rsidRDefault="00021EC6" w:rsidP="002E0F4A">
      <w:pPr>
        <w:jc w:val="both"/>
        <w:rPr>
          <w:color w:val="444444"/>
          <w:sz w:val="32"/>
          <w:szCs w:val="32"/>
        </w:rPr>
      </w:pPr>
      <w:r w:rsidRPr="002E0F4A">
        <w:rPr>
          <w:color w:val="444444"/>
          <w:sz w:val="32"/>
          <w:szCs w:val="32"/>
        </w:rPr>
        <w:t>Use</w:t>
      </w:r>
      <w:r w:rsidR="00867B3D" w:rsidRPr="002E0F4A">
        <w:rPr>
          <w:color w:val="444444"/>
          <w:sz w:val="32"/>
          <w:szCs w:val="32"/>
        </w:rPr>
        <w:t>rs have access to only</w:t>
      </w:r>
      <w:r w:rsidRPr="002E0F4A">
        <w:rPr>
          <w:color w:val="444444"/>
          <w:sz w:val="32"/>
          <w:szCs w:val="32"/>
        </w:rPr>
        <w:t xml:space="preserve"> S</w:t>
      </w:r>
      <w:r w:rsidR="00833328" w:rsidRPr="002E0F4A">
        <w:rPr>
          <w:color w:val="444444"/>
          <w:sz w:val="32"/>
          <w:szCs w:val="32"/>
        </w:rPr>
        <w:t>M30</w:t>
      </w:r>
      <w:r w:rsidRPr="002E0F4A">
        <w:rPr>
          <w:color w:val="444444"/>
          <w:sz w:val="32"/>
          <w:szCs w:val="32"/>
        </w:rPr>
        <w:t xml:space="preserve"> for entries.</w:t>
      </w:r>
      <w:r w:rsidR="008913E4" w:rsidRPr="002E0F4A">
        <w:rPr>
          <w:color w:val="444444"/>
          <w:sz w:val="32"/>
          <w:szCs w:val="32"/>
        </w:rPr>
        <w:t xml:space="preserve"> This is possible only if TMG is created.</w:t>
      </w:r>
    </w:p>
    <w:p w14:paraId="155560A3" w14:textId="07690BB5" w:rsidR="00245C3F" w:rsidRDefault="00245C3F" w:rsidP="002E0F4A">
      <w:pPr>
        <w:jc w:val="both"/>
        <w:rPr>
          <w:color w:val="444444"/>
          <w:sz w:val="32"/>
          <w:szCs w:val="32"/>
        </w:rPr>
      </w:pPr>
    </w:p>
    <w:p w14:paraId="63F2E4F6" w14:textId="6654B36B" w:rsidR="00245C3F" w:rsidRDefault="00245C3F" w:rsidP="002E0F4A">
      <w:pPr>
        <w:jc w:val="both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 xml:space="preserve">to change the view of </w:t>
      </w:r>
      <w:r w:rsidR="00BC0592">
        <w:rPr>
          <w:color w:val="444444"/>
          <w:sz w:val="32"/>
          <w:szCs w:val="32"/>
        </w:rPr>
        <w:t xml:space="preserve">data browser in se11. need to change the </w:t>
      </w:r>
      <w:r w:rsidR="00CB0AE4">
        <w:rPr>
          <w:color w:val="444444"/>
          <w:sz w:val="32"/>
          <w:szCs w:val="32"/>
        </w:rPr>
        <w:t>view of output.</w:t>
      </w:r>
    </w:p>
    <w:p w14:paraId="5A73ED3B" w14:textId="096260EF" w:rsidR="00CB0AE4" w:rsidRDefault="00CB0AE4" w:rsidP="002E0F4A">
      <w:pPr>
        <w:jc w:val="both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>first goto se16</w:t>
      </w:r>
    </w:p>
    <w:p w14:paraId="1E2D5A0A" w14:textId="63C41A36" w:rsidR="00CB0AE4" w:rsidRDefault="004B6C40" w:rsidP="002E0F4A">
      <w:pPr>
        <w:jc w:val="both"/>
        <w:rPr>
          <w:color w:val="44444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FAA94B" wp14:editId="6F3BCA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6540" w14:textId="67343FD1" w:rsidR="004B6C40" w:rsidRDefault="004B6C40" w:rsidP="002E0F4A">
      <w:pPr>
        <w:jc w:val="both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>click on button User Parameters</w:t>
      </w:r>
    </w:p>
    <w:p w14:paraId="5A811EF3" w14:textId="00145F0C" w:rsidR="004B6C40" w:rsidRDefault="004B6C40" w:rsidP="002E0F4A">
      <w:pPr>
        <w:jc w:val="both"/>
        <w:rPr>
          <w:color w:val="444444"/>
          <w:sz w:val="32"/>
          <w:szCs w:val="32"/>
        </w:rPr>
      </w:pPr>
      <w:r>
        <w:rPr>
          <w:noProof/>
        </w:rPr>
        <w:drawing>
          <wp:inline distT="0" distB="0" distL="0" distR="0" wp14:anchorId="70497E8D" wp14:editId="18D35FF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EF35" w14:textId="7A2127B4" w:rsidR="004B6C40" w:rsidRDefault="00ED6DDD" w:rsidP="002E0F4A">
      <w:pPr>
        <w:jc w:val="both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 xml:space="preserve">you can change the view to any alv grid display, </w:t>
      </w:r>
      <w:r w:rsidR="00DF5359">
        <w:rPr>
          <w:color w:val="444444"/>
          <w:sz w:val="32"/>
          <w:szCs w:val="32"/>
        </w:rPr>
        <w:t>alv list, se16 standard list</w:t>
      </w:r>
      <w:bookmarkStart w:id="0" w:name="_GoBack"/>
      <w:bookmarkEnd w:id="0"/>
    </w:p>
    <w:p w14:paraId="59107395" w14:textId="1C938A72" w:rsidR="00987BF8" w:rsidRPr="002E0F4A" w:rsidRDefault="00987BF8" w:rsidP="002E0F4A">
      <w:pPr>
        <w:jc w:val="both"/>
        <w:rPr>
          <w:color w:val="444444"/>
          <w:sz w:val="32"/>
          <w:szCs w:val="32"/>
        </w:rPr>
      </w:pPr>
      <w:r w:rsidRPr="002E0F4A">
        <w:rPr>
          <w:color w:val="444444"/>
          <w:sz w:val="32"/>
          <w:szCs w:val="32"/>
        </w:rPr>
        <w:br/>
      </w:r>
    </w:p>
    <w:sectPr w:rsidR="00987BF8" w:rsidRPr="002E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73"/>
    <w:rsid w:val="00021EC6"/>
    <w:rsid w:val="001C0581"/>
    <w:rsid w:val="00245C3F"/>
    <w:rsid w:val="002A57D8"/>
    <w:rsid w:val="002E0F4A"/>
    <w:rsid w:val="004A6649"/>
    <w:rsid w:val="004B6C40"/>
    <w:rsid w:val="007362C6"/>
    <w:rsid w:val="00833328"/>
    <w:rsid w:val="00867B3D"/>
    <w:rsid w:val="008722BA"/>
    <w:rsid w:val="008913E4"/>
    <w:rsid w:val="00987BF8"/>
    <w:rsid w:val="00AE0073"/>
    <w:rsid w:val="00BC0592"/>
    <w:rsid w:val="00CB0AE4"/>
    <w:rsid w:val="00DF5359"/>
    <w:rsid w:val="00DF6FC9"/>
    <w:rsid w:val="00E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B9D9"/>
  <w15:chartTrackingRefBased/>
  <w15:docId w15:val="{676BBAAF-BFE8-4768-BF8D-8D4F6618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7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16</cp:revision>
  <dcterms:created xsi:type="dcterms:W3CDTF">2017-10-05T09:35:00Z</dcterms:created>
  <dcterms:modified xsi:type="dcterms:W3CDTF">2022-12-19T19:09:00Z</dcterms:modified>
</cp:coreProperties>
</file>