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2B004" w14:textId="272B11F7" w:rsidR="00AB053A" w:rsidRPr="00277016" w:rsidRDefault="00AB053A" w:rsidP="00277016">
      <w:pPr>
        <w:pStyle w:val="ListParagraph"/>
        <w:numPr>
          <w:ilvl w:val="0"/>
          <w:numId w:val="3"/>
        </w:numPr>
        <w:spacing w:after="0" w:line="240" w:lineRule="auto"/>
        <w:rPr>
          <w:rFonts w:ascii="Times New Roman" w:eastAsia="Times New Roman" w:hAnsi="Times New Roman" w:cs="Times New Roman"/>
          <w:sz w:val="32"/>
          <w:szCs w:val="32"/>
          <w:lang w:val="en-US" w:eastAsia="en-IN"/>
        </w:rPr>
      </w:pPr>
      <w:r w:rsidRPr="008A1964">
        <w:rPr>
          <w:noProof/>
          <w:lang w:val="en-US"/>
        </w:rPr>
        <w:drawing>
          <wp:inline distT="0" distB="0" distL="0" distR="0" wp14:anchorId="58D7A02F" wp14:editId="6329237B">
            <wp:extent cx="9525" cy="9525"/>
            <wp:effectExtent l="0" t="0" r="0" b="0"/>
            <wp:docPr id="9" name="Picture 9" descr="Start of Content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t of Content Area"/>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p w14:paraId="62B7630B" w14:textId="77777777" w:rsidR="00277016" w:rsidRPr="00277016" w:rsidRDefault="00277016" w:rsidP="00277016">
      <w:pPr>
        <w:spacing w:after="0" w:line="240" w:lineRule="auto"/>
        <w:rPr>
          <w:rFonts w:ascii="Times New Roman" w:eastAsia="Times New Roman" w:hAnsi="Times New Roman" w:cs="Times New Roman"/>
          <w:sz w:val="32"/>
          <w:szCs w:val="32"/>
          <w:lang w:val="en-US" w:eastAsia="en-IN"/>
        </w:rPr>
      </w:pPr>
    </w:p>
    <w:p w14:paraId="4CA765B0" w14:textId="77777777" w:rsidR="00AB053A" w:rsidRPr="008A1964" w:rsidRDefault="00AB053A" w:rsidP="00AB053A">
      <w:pPr>
        <w:keepNext/>
        <w:spacing w:before="240" w:after="60" w:line="240" w:lineRule="auto"/>
        <w:outlineLvl w:val="1"/>
        <w:rPr>
          <w:rFonts w:ascii="Arial" w:eastAsia="Times New Roman" w:hAnsi="Arial" w:cs="Arial"/>
          <w:b/>
          <w:bCs/>
          <w:color w:val="000080"/>
          <w:sz w:val="32"/>
          <w:szCs w:val="32"/>
          <w:lang w:val="en-US" w:eastAsia="en-IN"/>
        </w:rPr>
      </w:pPr>
      <w:r w:rsidRPr="008A1964">
        <w:rPr>
          <w:rFonts w:ascii="Arial" w:eastAsia="Times New Roman" w:hAnsi="Arial" w:cs="Arial"/>
          <w:b/>
          <w:bCs/>
          <w:noProof/>
          <w:color w:val="000080"/>
          <w:sz w:val="32"/>
          <w:szCs w:val="32"/>
          <w:lang w:val="en-US"/>
        </w:rPr>
        <w:drawing>
          <wp:inline distT="0" distB="0" distL="0" distR="0" wp14:anchorId="3C4321EA" wp14:editId="7678EDFD">
            <wp:extent cx="304800" cy="304800"/>
            <wp:effectExtent l="19050" t="0" r="0" b="0"/>
            <wp:docPr id="10" name="Picture 10" descr="Function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nction documentation"/>
                    <pic:cNvPicPr>
                      <a:picLocks noChangeAspect="1" noChangeArrowheads="1"/>
                    </pic:cNvPicPr>
                  </pic:nvPicPr>
                  <pic:blipFill>
                    <a:blip r:embed="rId8"/>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8A1964">
        <w:rPr>
          <w:rFonts w:ascii="Arial" w:eastAsia="Times New Roman" w:hAnsi="Arial" w:cs="Arial"/>
          <w:b/>
          <w:bCs/>
          <w:color w:val="000080"/>
          <w:sz w:val="32"/>
          <w:szCs w:val="32"/>
          <w:lang w:val="en-US" w:eastAsia="en-IN"/>
        </w:rPr>
        <w:t xml:space="preserve"> Generic Buffering  </w:t>
      </w:r>
      <w:r w:rsidRPr="008A1964">
        <w:rPr>
          <w:rFonts w:ascii="Arial" w:eastAsia="Times New Roman" w:hAnsi="Arial" w:cs="Arial"/>
          <w:b/>
          <w:bCs/>
          <w:noProof/>
          <w:color w:val="0000FF"/>
          <w:sz w:val="32"/>
          <w:szCs w:val="32"/>
          <w:lang w:val="en-US"/>
        </w:rPr>
        <w:drawing>
          <wp:inline distT="0" distB="0" distL="0" distR="0" wp14:anchorId="184EF6E7" wp14:editId="2862B64A">
            <wp:extent cx="142875" cy="114300"/>
            <wp:effectExtent l="19050" t="0" r="9525" b="0"/>
            <wp:docPr id="11" name="Picture 11" descr="Locate the document in its SAP Library structure">
              <a:hlinkClick xmlns:a="http://schemas.openxmlformats.org/drawingml/2006/main" r:id="rId9"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e the document in its SAP Library structure">
                      <a:hlinkClick r:id="rId9" tgtFrame="_top"/>
                    </pic:cNvPr>
                    <pic:cNvPicPr>
                      <a:picLocks noChangeAspect="1" noChangeArrowheads="1"/>
                    </pic:cNvPicPr>
                  </pic:nvPicPr>
                  <pic:blipFill>
                    <a:blip r:embed="rId10"/>
                    <a:srcRect/>
                    <a:stretch>
                      <a:fillRect/>
                    </a:stretch>
                  </pic:blipFill>
                  <pic:spPr bwMode="auto">
                    <a:xfrm>
                      <a:off x="0" y="0"/>
                      <a:ext cx="142875" cy="114300"/>
                    </a:xfrm>
                    <a:prstGeom prst="rect">
                      <a:avLst/>
                    </a:prstGeom>
                    <a:noFill/>
                    <a:ln w="9525">
                      <a:noFill/>
                      <a:miter lim="800000"/>
                      <a:headEnd/>
                      <a:tailEnd/>
                    </a:ln>
                  </pic:spPr>
                </pic:pic>
              </a:graphicData>
            </a:graphic>
          </wp:inline>
        </w:drawing>
      </w:r>
    </w:p>
    <w:p w14:paraId="4CF501C7" w14:textId="77777777" w:rsidR="00AB053A" w:rsidRPr="008A1964" w:rsidRDefault="00AB053A" w:rsidP="00AB053A">
      <w:pPr>
        <w:keepNext/>
        <w:spacing w:before="120" w:after="60" w:line="240" w:lineRule="auto"/>
        <w:outlineLvl w:val="2"/>
        <w:rPr>
          <w:rFonts w:ascii="Arial" w:eastAsia="Times New Roman" w:hAnsi="Arial" w:cs="Arial"/>
          <w:b/>
          <w:bCs/>
          <w:color w:val="000080"/>
          <w:sz w:val="32"/>
          <w:szCs w:val="32"/>
          <w:lang w:val="en-US" w:eastAsia="en-IN"/>
        </w:rPr>
      </w:pPr>
      <w:r w:rsidRPr="008A1964">
        <w:rPr>
          <w:rFonts w:ascii="Arial" w:eastAsia="Times New Roman" w:hAnsi="Arial" w:cs="Arial"/>
          <w:b/>
          <w:bCs/>
          <w:color w:val="000080"/>
          <w:sz w:val="32"/>
          <w:szCs w:val="32"/>
          <w:lang w:val="en-US" w:eastAsia="en-IN"/>
        </w:rPr>
        <w:t>Use</w:t>
      </w:r>
    </w:p>
    <w:p w14:paraId="6E521E42" w14:textId="77777777" w:rsidR="00AB053A" w:rsidRPr="008A1964" w:rsidRDefault="00AB053A" w:rsidP="00AB053A">
      <w:pPr>
        <w:spacing w:before="60" w:after="60" w:line="240" w:lineRule="auto"/>
        <w:rPr>
          <w:rFonts w:ascii="Arial" w:eastAsia="Times New Roman" w:hAnsi="Arial" w:cs="Arial"/>
          <w:sz w:val="32"/>
          <w:szCs w:val="32"/>
          <w:lang w:val="en-US" w:eastAsia="en-IN"/>
        </w:rPr>
      </w:pPr>
      <w:r w:rsidRPr="008A1964">
        <w:rPr>
          <w:rFonts w:ascii="Arial" w:eastAsia="Times New Roman" w:hAnsi="Arial" w:cs="Arial"/>
          <w:sz w:val="32"/>
          <w:szCs w:val="32"/>
          <w:lang w:val="en-US" w:eastAsia="en-IN"/>
        </w:rPr>
        <w:t>You use generic buffering to load in the buffer all the records whose generic key fields match with the accessed record of the table. The generic key is a part of the primary key of the table that is left-justified.</w:t>
      </w:r>
    </w:p>
    <w:p w14:paraId="5F5FCA8D" w14:textId="77777777" w:rsidR="00AB053A" w:rsidRPr="008A1964" w:rsidRDefault="00AB053A" w:rsidP="00AB053A">
      <w:pPr>
        <w:keepNext/>
        <w:spacing w:before="60" w:after="60" w:line="240" w:lineRule="auto"/>
        <w:ind w:left="1181"/>
        <w:rPr>
          <w:rFonts w:ascii="Arial" w:eastAsia="Times New Roman" w:hAnsi="Arial" w:cs="Arial"/>
          <w:sz w:val="32"/>
          <w:szCs w:val="32"/>
          <w:lang w:val="en-US" w:eastAsia="en-IN"/>
        </w:rPr>
      </w:pPr>
      <w:r w:rsidRPr="008A1964">
        <w:rPr>
          <w:rFonts w:ascii="Arial" w:eastAsia="Times New Roman" w:hAnsi="Arial" w:cs="Arial"/>
          <w:noProof/>
          <w:sz w:val="32"/>
          <w:szCs w:val="32"/>
          <w:lang w:val="en-US"/>
        </w:rPr>
        <w:drawing>
          <wp:inline distT="0" distB="0" distL="0" distR="0" wp14:anchorId="6DF7FB76" wp14:editId="5D76E21D">
            <wp:extent cx="228600" cy="228600"/>
            <wp:effectExtent l="19050" t="0" r="0" b="0"/>
            <wp:docPr id="12" name="Picture 12"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14:paraId="78EA77BC" w14:textId="43243821" w:rsidR="00AB053A" w:rsidRDefault="00AB053A" w:rsidP="00AB053A">
      <w:pPr>
        <w:spacing w:before="60" w:after="60" w:line="240" w:lineRule="auto"/>
        <w:ind w:left="1181"/>
        <w:rPr>
          <w:rFonts w:ascii="Arial" w:eastAsia="Times New Roman" w:hAnsi="Arial" w:cs="Arial"/>
          <w:sz w:val="32"/>
          <w:szCs w:val="32"/>
          <w:lang w:val="en-US" w:eastAsia="en-IN"/>
        </w:rPr>
      </w:pPr>
      <w:r w:rsidRPr="008A1964">
        <w:rPr>
          <w:rFonts w:ascii="Arial" w:eastAsia="Times New Roman" w:hAnsi="Arial" w:cs="Arial"/>
          <w:sz w:val="32"/>
          <w:szCs w:val="32"/>
          <w:lang w:val="en-US" w:eastAsia="en-IN"/>
        </w:rPr>
        <w:t xml:space="preserve">In this example, a program reads the record highlighted in red from table </w:t>
      </w:r>
      <w:r w:rsidRPr="008A1964">
        <w:rPr>
          <w:rFonts w:ascii="Arial" w:eastAsia="Times New Roman" w:hAnsi="Arial" w:cs="Arial"/>
          <w:i/>
          <w:iCs/>
          <w:sz w:val="32"/>
          <w:szCs w:val="32"/>
          <w:lang w:val="en-US" w:eastAsia="en-IN"/>
        </w:rPr>
        <w:t>SCOUNTER</w:t>
      </w:r>
      <w:r w:rsidRPr="008A1964">
        <w:rPr>
          <w:rFonts w:ascii="Arial" w:eastAsia="Times New Roman" w:hAnsi="Arial" w:cs="Arial"/>
          <w:sz w:val="32"/>
          <w:szCs w:val="32"/>
          <w:lang w:val="en-US" w:eastAsia="en-IN"/>
        </w:rPr>
        <w:t>. If the table is generically buffered, all records whose generic key values (</w:t>
      </w:r>
      <w:r w:rsidRPr="008A1964">
        <w:rPr>
          <w:rFonts w:ascii="Arial" w:eastAsia="Times New Roman" w:hAnsi="Arial" w:cs="Arial"/>
          <w:i/>
          <w:iCs/>
          <w:sz w:val="32"/>
          <w:szCs w:val="32"/>
          <w:lang w:val="en-US" w:eastAsia="en-IN"/>
        </w:rPr>
        <w:t>MANDT</w:t>
      </w:r>
      <w:r w:rsidRPr="008A1964">
        <w:rPr>
          <w:rFonts w:ascii="Arial" w:eastAsia="Times New Roman" w:hAnsi="Arial" w:cs="Arial"/>
          <w:sz w:val="32"/>
          <w:szCs w:val="32"/>
          <w:lang w:val="en-US" w:eastAsia="en-IN"/>
        </w:rPr>
        <w:t xml:space="preserve"> and </w:t>
      </w:r>
      <w:r w:rsidRPr="008A1964">
        <w:rPr>
          <w:rFonts w:ascii="Arial" w:eastAsia="Times New Roman" w:hAnsi="Arial" w:cs="Arial"/>
          <w:i/>
          <w:iCs/>
          <w:sz w:val="32"/>
          <w:szCs w:val="32"/>
          <w:lang w:val="en-US" w:eastAsia="en-IN"/>
        </w:rPr>
        <w:t>CARRID</w:t>
      </w:r>
      <w:r w:rsidRPr="008A1964">
        <w:rPr>
          <w:rFonts w:ascii="Arial" w:eastAsia="Times New Roman" w:hAnsi="Arial" w:cs="Arial"/>
          <w:sz w:val="32"/>
          <w:szCs w:val="32"/>
          <w:lang w:val="en-US" w:eastAsia="en-IN"/>
        </w:rPr>
        <w:t>) agree are loaded into the buffer. This is shown in the figure below.</w:t>
      </w:r>
    </w:p>
    <w:p w14:paraId="5F8A13F1" w14:textId="1836826E" w:rsidR="00934F88" w:rsidRPr="008A1964" w:rsidRDefault="00934F88" w:rsidP="00AB053A">
      <w:pPr>
        <w:spacing w:before="60" w:after="60" w:line="240" w:lineRule="auto"/>
        <w:ind w:left="1181"/>
        <w:rPr>
          <w:rFonts w:ascii="Arial" w:eastAsia="Times New Roman" w:hAnsi="Arial" w:cs="Arial"/>
          <w:sz w:val="32"/>
          <w:szCs w:val="32"/>
          <w:lang w:val="en-US" w:eastAsia="en-IN"/>
        </w:rPr>
      </w:pPr>
      <w:r>
        <w:rPr>
          <w:noProof/>
        </w:rPr>
        <w:drawing>
          <wp:inline distT="0" distB="0" distL="0" distR="0" wp14:anchorId="7E3682E9" wp14:editId="06A6828B">
            <wp:extent cx="5731510" cy="1970405"/>
            <wp:effectExtent l="19050" t="1905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70405"/>
                    </a:xfrm>
                    <a:prstGeom prst="rect">
                      <a:avLst/>
                    </a:prstGeom>
                    <a:ln>
                      <a:solidFill>
                        <a:schemeClr val="tx1"/>
                      </a:solidFill>
                    </a:ln>
                  </pic:spPr>
                </pic:pic>
              </a:graphicData>
            </a:graphic>
          </wp:inline>
        </w:drawing>
      </w:r>
    </w:p>
    <w:p w14:paraId="56005271" w14:textId="77777777" w:rsidR="00AB053A" w:rsidRPr="008A1964" w:rsidRDefault="00AB053A" w:rsidP="00AB053A">
      <w:pPr>
        <w:spacing w:before="60" w:after="60" w:line="240" w:lineRule="auto"/>
        <w:ind w:left="1181"/>
        <w:rPr>
          <w:rFonts w:ascii="Arial" w:eastAsia="Times New Roman" w:hAnsi="Arial" w:cs="Arial"/>
          <w:sz w:val="32"/>
          <w:szCs w:val="32"/>
          <w:lang w:val="en-US" w:eastAsia="en-IN"/>
        </w:rPr>
      </w:pPr>
      <w:bookmarkStart w:id="0" w:name="_986965545"/>
      <w:bookmarkStart w:id="1" w:name="_GoBack"/>
      <w:bookmarkEnd w:id="0"/>
      <w:r w:rsidRPr="008A1964">
        <w:rPr>
          <w:rFonts w:ascii="Arial" w:eastAsia="Times New Roman" w:hAnsi="Arial" w:cs="Arial"/>
          <w:noProof/>
          <w:sz w:val="32"/>
          <w:szCs w:val="32"/>
          <w:lang w:val="en-US"/>
        </w:rPr>
        <w:lastRenderedPageBreak/>
        <w:drawing>
          <wp:inline distT="0" distB="0" distL="0" distR="0" wp14:anchorId="34CD634E" wp14:editId="1695EE52">
            <wp:extent cx="4467225" cy="3352800"/>
            <wp:effectExtent l="19050" t="19050" r="9525" b="0"/>
            <wp:docPr id="13" name="Picture 13" descr="This graphic is explained in the accompany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s graphic is explained in the accompanying text"/>
                    <pic:cNvPicPr>
                      <a:picLocks noChangeAspect="1" noChangeArrowheads="1"/>
                    </pic:cNvPicPr>
                  </pic:nvPicPr>
                  <pic:blipFill>
                    <a:blip r:embed="rId13"/>
                    <a:srcRect/>
                    <a:stretch>
                      <a:fillRect/>
                    </a:stretch>
                  </pic:blipFill>
                  <pic:spPr bwMode="auto">
                    <a:xfrm>
                      <a:off x="0" y="0"/>
                      <a:ext cx="4467225" cy="3352800"/>
                    </a:xfrm>
                    <a:prstGeom prst="rect">
                      <a:avLst/>
                    </a:prstGeom>
                    <a:noFill/>
                    <a:ln w="9525">
                      <a:solidFill>
                        <a:schemeClr val="tx1"/>
                      </a:solidFill>
                      <a:miter lim="800000"/>
                      <a:headEnd/>
                      <a:tailEnd/>
                    </a:ln>
                  </pic:spPr>
                </pic:pic>
              </a:graphicData>
            </a:graphic>
          </wp:inline>
        </w:drawing>
      </w:r>
      <w:bookmarkEnd w:id="1"/>
    </w:p>
    <w:p w14:paraId="6567AFA9" w14:textId="77777777" w:rsidR="00AB053A" w:rsidRPr="008A1964" w:rsidRDefault="00AB053A" w:rsidP="00AB053A">
      <w:pPr>
        <w:keepNext/>
        <w:spacing w:before="120" w:after="60" w:line="240" w:lineRule="auto"/>
        <w:outlineLvl w:val="3"/>
        <w:rPr>
          <w:rFonts w:ascii="Arial" w:eastAsia="Times New Roman" w:hAnsi="Arial" w:cs="Arial"/>
          <w:b/>
          <w:bCs/>
          <w:color w:val="000080"/>
          <w:sz w:val="32"/>
          <w:szCs w:val="32"/>
          <w:lang w:val="en-US" w:eastAsia="en-IN"/>
        </w:rPr>
      </w:pPr>
      <w:r w:rsidRPr="008A1964">
        <w:rPr>
          <w:rFonts w:ascii="Arial" w:eastAsia="Times New Roman" w:hAnsi="Arial" w:cs="Arial"/>
          <w:b/>
          <w:bCs/>
          <w:color w:val="000080"/>
          <w:sz w:val="32"/>
          <w:szCs w:val="32"/>
          <w:lang w:val="en-US" w:eastAsia="en-IN"/>
        </w:rPr>
        <w:t>When To Use Generic Buffering:</w:t>
      </w:r>
    </w:p>
    <w:p w14:paraId="55CAD4D6" w14:textId="77777777" w:rsidR="00AB053A" w:rsidRPr="008A1964" w:rsidRDefault="00AB053A" w:rsidP="00AB053A">
      <w:pPr>
        <w:tabs>
          <w:tab w:val="num" w:pos="605"/>
        </w:tabs>
        <w:spacing w:before="60" w:after="60" w:line="240" w:lineRule="auto"/>
        <w:ind w:left="605" w:hanging="375"/>
        <w:rPr>
          <w:rFonts w:ascii="Arial" w:eastAsia="Times New Roman" w:hAnsi="Arial" w:cs="Arial"/>
          <w:sz w:val="32"/>
          <w:szCs w:val="32"/>
          <w:lang w:val="en-US" w:eastAsia="en-IN"/>
        </w:rPr>
      </w:pPr>
      <w:r w:rsidRPr="008A1964">
        <w:rPr>
          <w:rFonts w:ascii="Arial" w:eastAsia="Times New Roman" w:hAnsi="Arial" w:cs="Arial"/>
          <w:color w:val="000000"/>
          <w:sz w:val="32"/>
          <w:szCs w:val="32"/>
          <w:lang w:val="en-US" w:eastAsia="en-IN"/>
        </w:rPr>
        <w:t>When generic areas are needed.</w:t>
      </w:r>
    </w:p>
    <w:p w14:paraId="61540BE7" w14:textId="77777777" w:rsidR="00AB053A" w:rsidRPr="008A1964" w:rsidRDefault="00AB053A" w:rsidP="00AB053A">
      <w:pPr>
        <w:spacing w:before="60" w:after="60" w:line="240" w:lineRule="auto"/>
        <w:ind w:left="562"/>
        <w:rPr>
          <w:rFonts w:ascii="Arial" w:eastAsia="Times New Roman" w:hAnsi="Arial" w:cs="Arial"/>
          <w:sz w:val="32"/>
          <w:szCs w:val="32"/>
          <w:lang w:val="en-US" w:eastAsia="en-IN"/>
        </w:rPr>
      </w:pPr>
      <w:r w:rsidRPr="008A1964">
        <w:rPr>
          <w:rFonts w:ascii="Arial" w:eastAsia="Times New Roman" w:hAnsi="Arial" w:cs="Arial"/>
          <w:color w:val="000000"/>
          <w:sz w:val="32"/>
          <w:szCs w:val="32"/>
          <w:lang w:val="en-US" w:eastAsia="en-IN"/>
        </w:rPr>
        <w:t>You must generically buffer a table if only certain generic areas of the table are needed for processing.</w:t>
      </w:r>
    </w:p>
    <w:p w14:paraId="705987EA" w14:textId="77777777" w:rsidR="00AB053A" w:rsidRPr="008A1964" w:rsidRDefault="00AB053A" w:rsidP="00AB053A">
      <w:pPr>
        <w:numPr>
          <w:ilvl w:val="0"/>
          <w:numId w:val="1"/>
        </w:numPr>
        <w:tabs>
          <w:tab w:val="num" w:pos="605"/>
        </w:tabs>
        <w:spacing w:before="60" w:after="60" w:line="240" w:lineRule="auto"/>
        <w:rPr>
          <w:rFonts w:ascii="Arial" w:eastAsia="Times New Roman" w:hAnsi="Arial" w:cs="Arial"/>
          <w:sz w:val="32"/>
          <w:szCs w:val="32"/>
          <w:lang w:val="en-US" w:eastAsia="en-IN"/>
        </w:rPr>
      </w:pPr>
      <w:r w:rsidRPr="008A1964">
        <w:rPr>
          <w:rFonts w:ascii="Arial" w:eastAsia="Times New Roman" w:hAnsi="Arial" w:cs="Arial"/>
          <w:color w:val="000000"/>
          <w:sz w:val="32"/>
          <w:szCs w:val="32"/>
          <w:lang w:val="en-US" w:eastAsia="en-IN"/>
        </w:rPr>
        <w:t>For client-specific tables</w:t>
      </w:r>
    </w:p>
    <w:p w14:paraId="35C00489" w14:textId="77777777" w:rsidR="00AB053A" w:rsidRPr="008A1964" w:rsidRDefault="00AB053A" w:rsidP="00AB053A">
      <w:pPr>
        <w:spacing w:before="60" w:after="60" w:line="240" w:lineRule="auto"/>
        <w:ind w:left="562"/>
        <w:rPr>
          <w:rFonts w:ascii="Arial" w:eastAsia="Times New Roman" w:hAnsi="Arial" w:cs="Arial"/>
          <w:sz w:val="32"/>
          <w:szCs w:val="32"/>
          <w:lang w:val="en-US" w:eastAsia="en-IN"/>
        </w:rPr>
      </w:pPr>
      <w:r w:rsidRPr="008A1964">
        <w:rPr>
          <w:rFonts w:ascii="Arial" w:eastAsia="Times New Roman" w:hAnsi="Arial" w:cs="Arial"/>
          <w:color w:val="000000"/>
          <w:sz w:val="32"/>
          <w:szCs w:val="32"/>
          <w:lang w:val="en-US" w:eastAsia="en-IN"/>
        </w:rPr>
        <w:t>Client-specific, fully-buffered tables are automatically generically buffered since it is not possible to work in all clients at the same time on an application server. The client field is the generic key.</w:t>
      </w:r>
    </w:p>
    <w:p w14:paraId="227ABE3C" w14:textId="77777777" w:rsidR="00AB053A" w:rsidRPr="008A1964" w:rsidRDefault="00AB053A" w:rsidP="00AB053A">
      <w:pPr>
        <w:keepNext/>
        <w:spacing w:before="120" w:after="60" w:line="240" w:lineRule="auto"/>
        <w:outlineLvl w:val="2"/>
        <w:rPr>
          <w:rFonts w:ascii="Arial" w:eastAsia="Times New Roman" w:hAnsi="Arial" w:cs="Arial"/>
          <w:b/>
          <w:bCs/>
          <w:color w:val="000080"/>
          <w:sz w:val="32"/>
          <w:szCs w:val="32"/>
          <w:lang w:val="en-US" w:eastAsia="en-IN"/>
        </w:rPr>
      </w:pPr>
      <w:r w:rsidRPr="008A1964">
        <w:rPr>
          <w:rFonts w:ascii="Arial" w:eastAsia="Times New Roman" w:hAnsi="Arial" w:cs="Arial"/>
          <w:b/>
          <w:bCs/>
          <w:color w:val="000080"/>
          <w:sz w:val="32"/>
          <w:szCs w:val="32"/>
          <w:lang w:val="en-US" w:eastAsia="en-IN"/>
        </w:rPr>
        <w:t>Features</w:t>
      </w:r>
    </w:p>
    <w:p w14:paraId="59E0BBB1" w14:textId="77777777" w:rsidR="00AB053A" w:rsidRPr="008A1964" w:rsidRDefault="00AB053A" w:rsidP="00AB053A">
      <w:pPr>
        <w:keepNext/>
        <w:spacing w:before="120" w:after="60" w:line="240" w:lineRule="auto"/>
        <w:outlineLvl w:val="3"/>
        <w:rPr>
          <w:rFonts w:ascii="Arial" w:eastAsia="Times New Roman" w:hAnsi="Arial" w:cs="Arial"/>
          <w:b/>
          <w:bCs/>
          <w:color w:val="000080"/>
          <w:sz w:val="32"/>
          <w:szCs w:val="32"/>
          <w:lang w:val="en-US" w:eastAsia="en-IN"/>
        </w:rPr>
      </w:pPr>
      <w:r w:rsidRPr="008A1964">
        <w:rPr>
          <w:rFonts w:ascii="Arial" w:eastAsia="Times New Roman" w:hAnsi="Arial" w:cs="Arial"/>
          <w:b/>
          <w:bCs/>
          <w:color w:val="000080"/>
          <w:sz w:val="32"/>
          <w:szCs w:val="32"/>
          <w:lang w:val="en-US" w:eastAsia="en-IN"/>
        </w:rPr>
        <w:t>Defining the Generic Key</w:t>
      </w:r>
    </w:p>
    <w:p w14:paraId="1D8D6279" w14:textId="77777777" w:rsidR="00AB053A" w:rsidRPr="008A1964" w:rsidRDefault="00AB053A" w:rsidP="00AB053A">
      <w:pPr>
        <w:spacing w:before="60" w:after="60" w:line="240" w:lineRule="auto"/>
        <w:rPr>
          <w:rFonts w:ascii="Arial" w:eastAsia="Times New Roman" w:hAnsi="Arial" w:cs="Arial"/>
          <w:sz w:val="32"/>
          <w:szCs w:val="32"/>
          <w:lang w:val="en-US" w:eastAsia="en-IN"/>
        </w:rPr>
      </w:pPr>
      <w:r w:rsidRPr="008A1964">
        <w:rPr>
          <w:rFonts w:ascii="Arial" w:eastAsia="Times New Roman" w:hAnsi="Arial" w:cs="Arial"/>
          <w:sz w:val="32"/>
          <w:szCs w:val="32"/>
          <w:lang w:val="en-US" w:eastAsia="en-IN"/>
        </w:rPr>
        <w:t>In generic buffering, it is crucial to define a suitable generic key.</w:t>
      </w:r>
    </w:p>
    <w:p w14:paraId="54078862" w14:textId="77777777" w:rsidR="00AB053A" w:rsidRDefault="00AB053A" w:rsidP="00AB053A">
      <w:pPr>
        <w:spacing w:before="60" w:after="60" w:line="240" w:lineRule="auto"/>
        <w:rPr>
          <w:rFonts w:ascii="Arial" w:eastAsia="Times New Roman" w:hAnsi="Arial" w:cs="Arial"/>
          <w:sz w:val="32"/>
          <w:szCs w:val="32"/>
          <w:lang w:val="en-US" w:eastAsia="en-IN"/>
        </w:rPr>
      </w:pPr>
      <w:r w:rsidRPr="008A1964">
        <w:rPr>
          <w:rFonts w:ascii="Arial" w:eastAsia="Times New Roman" w:hAnsi="Arial" w:cs="Arial"/>
          <w:sz w:val="32"/>
          <w:szCs w:val="32"/>
          <w:lang w:val="en-US" w:eastAsia="en-IN"/>
        </w:rPr>
        <w:t>If the generic key is too small, the buffer contains a few large areas. During access, too much data can be loaded in the buffer.</w:t>
      </w:r>
    </w:p>
    <w:p w14:paraId="4007FBEE" w14:textId="77777777" w:rsidR="007339AC" w:rsidRPr="008A1964" w:rsidRDefault="007339AC" w:rsidP="00AB053A">
      <w:pPr>
        <w:spacing w:before="60" w:after="60" w:line="240" w:lineRule="auto"/>
        <w:rPr>
          <w:rFonts w:ascii="Arial" w:eastAsia="Times New Roman" w:hAnsi="Arial" w:cs="Arial"/>
          <w:sz w:val="32"/>
          <w:szCs w:val="32"/>
          <w:lang w:val="en-US" w:eastAsia="en-IN"/>
        </w:rPr>
      </w:pPr>
    </w:p>
    <w:p w14:paraId="0D58BB9F" w14:textId="77777777" w:rsidR="00AB053A" w:rsidRPr="008A1964" w:rsidRDefault="00AB053A" w:rsidP="00AB053A">
      <w:pPr>
        <w:spacing w:before="60" w:after="60" w:line="240" w:lineRule="auto"/>
        <w:rPr>
          <w:rFonts w:ascii="Arial" w:eastAsia="Times New Roman" w:hAnsi="Arial" w:cs="Arial"/>
          <w:sz w:val="32"/>
          <w:szCs w:val="32"/>
          <w:lang w:val="en-US" w:eastAsia="en-IN"/>
        </w:rPr>
      </w:pPr>
      <w:r w:rsidRPr="008A1964">
        <w:rPr>
          <w:rFonts w:ascii="Arial" w:eastAsia="Times New Roman" w:hAnsi="Arial" w:cs="Arial"/>
          <w:color w:val="000000"/>
          <w:sz w:val="32"/>
          <w:szCs w:val="32"/>
          <w:lang w:val="en-US" w:eastAsia="en-IN"/>
        </w:rPr>
        <w:t xml:space="preserve">If the generic key is too large, the buffer contains too many small generic areas. </w:t>
      </w:r>
      <w:r w:rsidRPr="008A1964">
        <w:rPr>
          <w:rFonts w:ascii="Arial" w:eastAsia="Times New Roman" w:hAnsi="Arial" w:cs="Arial"/>
          <w:sz w:val="32"/>
          <w:szCs w:val="32"/>
          <w:lang w:val="en-US" w:eastAsia="en-IN"/>
        </w:rPr>
        <w:t xml:space="preserve">These can reduce buffer performance since there is an administrative entry for every buffered generic area. It is also possible that too many accesses bypass the buffer and go directly to the database, since they do not fully </w:t>
      </w:r>
      <w:r w:rsidRPr="008A1964">
        <w:rPr>
          <w:rFonts w:ascii="Arial" w:eastAsia="Times New Roman" w:hAnsi="Arial" w:cs="Arial"/>
          <w:sz w:val="32"/>
          <w:szCs w:val="32"/>
          <w:lang w:val="en-US" w:eastAsia="en-IN"/>
        </w:rPr>
        <w:lastRenderedPageBreak/>
        <w:t>define the generic key of the table. If there are only a few records in each generic area</w:t>
      </w:r>
      <w:r w:rsidRPr="008A1964">
        <w:rPr>
          <w:rFonts w:ascii="Arial" w:eastAsia="Times New Roman" w:hAnsi="Arial" w:cs="Arial"/>
          <w:color w:val="000000"/>
          <w:sz w:val="32"/>
          <w:szCs w:val="32"/>
          <w:lang w:val="en-US" w:eastAsia="en-IN"/>
        </w:rPr>
        <w:t>, we recommend you to fully buffer the table.</w:t>
      </w:r>
    </w:p>
    <w:p w14:paraId="2022744B" w14:textId="77777777" w:rsidR="00AB053A" w:rsidRPr="008A1964" w:rsidRDefault="00AB053A" w:rsidP="00AB053A">
      <w:pPr>
        <w:spacing w:before="60" w:after="60" w:line="240" w:lineRule="auto"/>
        <w:rPr>
          <w:rFonts w:ascii="Arial" w:eastAsia="Times New Roman" w:hAnsi="Arial" w:cs="Arial"/>
          <w:sz w:val="32"/>
          <w:szCs w:val="32"/>
          <w:lang w:val="en-US" w:eastAsia="en-IN"/>
        </w:rPr>
      </w:pPr>
      <w:r w:rsidRPr="008A1964">
        <w:rPr>
          <w:rFonts w:ascii="Arial" w:eastAsia="Times New Roman" w:hAnsi="Arial" w:cs="Arial"/>
          <w:sz w:val="32"/>
          <w:szCs w:val="32"/>
          <w:lang w:val="en-US" w:eastAsia="en-IN"/>
        </w:rPr>
        <w:t> </w:t>
      </w:r>
    </w:p>
    <w:p w14:paraId="64D41731" w14:textId="77777777" w:rsidR="00AB053A" w:rsidRPr="008A1964" w:rsidRDefault="00AB053A" w:rsidP="00AB053A">
      <w:pPr>
        <w:spacing w:before="60" w:after="60" w:line="240" w:lineRule="auto"/>
        <w:rPr>
          <w:rFonts w:ascii="Arial" w:eastAsia="Times New Roman" w:hAnsi="Arial" w:cs="Arial"/>
          <w:sz w:val="32"/>
          <w:szCs w:val="32"/>
          <w:lang w:val="en-US" w:eastAsia="en-IN"/>
        </w:rPr>
      </w:pPr>
      <w:r w:rsidRPr="008A1964">
        <w:rPr>
          <w:rFonts w:ascii="Arial" w:eastAsia="Times New Roman" w:hAnsi="Arial" w:cs="Arial"/>
          <w:sz w:val="32"/>
          <w:szCs w:val="32"/>
          <w:lang w:val="en-US" w:eastAsia="en-IN"/>
        </w:rPr>
        <w:t> </w:t>
      </w:r>
    </w:p>
    <w:p w14:paraId="378AAA9D" w14:textId="77777777" w:rsidR="00AB053A" w:rsidRPr="008A1964" w:rsidRDefault="00AB053A" w:rsidP="00AB053A">
      <w:pPr>
        <w:rPr>
          <w:sz w:val="32"/>
          <w:szCs w:val="32"/>
        </w:rPr>
      </w:pPr>
      <w:r w:rsidRPr="008A1964">
        <w:rPr>
          <w:rFonts w:ascii="Times New Roman" w:eastAsia="Times New Roman" w:hAnsi="Times New Roman" w:cs="Times New Roman"/>
          <w:noProof/>
          <w:sz w:val="32"/>
          <w:szCs w:val="32"/>
          <w:lang w:val="en-US"/>
        </w:rPr>
        <w:drawing>
          <wp:inline distT="0" distB="0" distL="0" distR="0" wp14:anchorId="0832F6CC" wp14:editId="26329786">
            <wp:extent cx="9525" cy="9525"/>
            <wp:effectExtent l="0" t="0" r="0" b="0"/>
            <wp:docPr id="14" name="Picture 14" descr="End of Content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d of Content Area"/>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p w14:paraId="5DC00D85" w14:textId="77777777" w:rsidR="00567354" w:rsidRPr="008A1964" w:rsidRDefault="00567354">
      <w:pPr>
        <w:rPr>
          <w:sz w:val="32"/>
          <w:szCs w:val="32"/>
        </w:rPr>
      </w:pPr>
    </w:p>
    <w:sectPr w:rsidR="00567354" w:rsidRPr="008A1964" w:rsidSect="005673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37B16" w14:textId="77777777" w:rsidR="00EE06BD" w:rsidRDefault="00EE06BD" w:rsidP="008A1964">
      <w:pPr>
        <w:spacing w:after="0" w:line="240" w:lineRule="auto"/>
      </w:pPr>
      <w:r>
        <w:separator/>
      </w:r>
    </w:p>
  </w:endnote>
  <w:endnote w:type="continuationSeparator" w:id="0">
    <w:p w14:paraId="1543F5E0" w14:textId="77777777" w:rsidR="00EE06BD" w:rsidRDefault="00EE06BD" w:rsidP="008A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BB7FB" w14:textId="77777777" w:rsidR="00EE06BD" w:rsidRDefault="00EE06BD" w:rsidP="008A1964">
      <w:pPr>
        <w:spacing w:after="0" w:line="240" w:lineRule="auto"/>
      </w:pPr>
      <w:r>
        <w:separator/>
      </w:r>
    </w:p>
  </w:footnote>
  <w:footnote w:type="continuationSeparator" w:id="0">
    <w:p w14:paraId="6E9B2CE2" w14:textId="77777777" w:rsidR="00EE06BD" w:rsidRDefault="00EE06BD" w:rsidP="008A1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Start of Content Area" style="width:1.15pt;height:1.15pt;visibility:visible;mso-wrap-style:square" o:bullet="t">
        <v:imagedata r:id="rId1" o:title="Start of Content Area"/>
      </v:shape>
    </w:pict>
  </w:numPicBullet>
  <w:abstractNum w:abstractNumId="0" w15:restartNumberingAfterBreak="0">
    <w:nsid w:val="09E83209"/>
    <w:multiLevelType w:val="hybridMultilevel"/>
    <w:tmpl w:val="622CBC9E"/>
    <w:lvl w:ilvl="0" w:tplc="91ACF712">
      <w:start w:val="1"/>
      <w:numFmt w:val="bullet"/>
      <w:lvlText w:val=""/>
      <w:lvlPicBulletId w:val="0"/>
      <w:lvlJc w:val="left"/>
      <w:pPr>
        <w:tabs>
          <w:tab w:val="num" w:pos="720"/>
        </w:tabs>
        <w:ind w:left="720" w:hanging="360"/>
      </w:pPr>
      <w:rPr>
        <w:rFonts w:ascii="Symbol" w:hAnsi="Symbol" w:hint="default"/>
      </w:rPr>
    </w:lvl>
    <w:lvl w:ilvl="1" w:tplc="F1525EE2" w:tentative="1">
      <w:start w:val="1"/>
      <w:numFmt w:val="bullet"/>
      <w:lvlText w:val=""/>
      <w:lvlJc w:val="left"/>
      <w:pPr>
        <w:tabs>
          <w:tab w:val="num" w:pos="1440"/>
        </w:tabs>
        <w:ind w:left="1440" w:hanging="360"/>
      </w:pPr>
      <w:rPr>
        <w:rFonts w:ascii="Symbol" w:hAnsi="Symbol" w:hint="default"/>
      </w:rPr>
    </w:lvl>
    <w:lvl w:ilvl="2" w:tplc="82DEFA60" w:tentative="1">
      <w:start w:val="1"/>
      <w:numFmt w:val="bullet"/>
      <w:lvlText w:val=""/>
      <w:lvlJc w:val="left"/>
      <w:pPr>
        <w:tabs>
          <w:tab w:val="num" w:pos="2160"/>
        </w:tabs>
        <w:ind w:left="2160" w:hanging="360"/>
      </w:pPr>
      <w:rPr>
        <w:rFonts w:ascii="Symbol" w:hAnsi="Symbol" w:hint="default"/>
      </w:rPr>
    </w:lvl>
    <w:lvl w:ilvl="3" w:tplc="CFC8E052" w:tentative="1">
      <w:start w:val="1"/>
      <w:numFmt w:val="bullet"/>
      <w:lvlText w:val=""/>
      <w:lvlJc w:val="left"/>
      <w:pPr>
        <w:tabs>
          <w:tab w:val="num" w:pos="2880"/>
        </w:tabs>
        <w:ind w:left="2880" w:hanging="360"/>
      </w:pPr>
      <w:rPr>
        <w:rFonts w:ascii="Symbol" w:hAnsi="Symbol" w:hint="default"/>
      </w:rPr>
    </w:lvl>
    <w:lvl w:ilvl="4" w:tplc="66064E70" w:tentative="1">
      <w:start w:val="1"/>
      <w:numFmt w:val="bullet"/>
      <w:lvlText w:val=""/>
      <w:lvlJc w:val="left"/>
      <w:pPr>
        <w:tabs>
          <w:tab w:val="num" w:pos="3600"/>
        </w:tabs>
        <w:ind w:left="3600" w:hanging="360"/>
      </w:pPr>
      <w:rPr>
        <w:rFonts w:ascii="Symbol" w:hAnsi="Symbol" w:hint="default"/>
      </w:rPr>
    </w:lvl>
    <w:lvl w:ilvl="5" w:tplc="930A5A94" w:tentative="1">
      <w:start w:val="1"/>
      <w:numFmt w:val="bullet"/>
      <w:lvlText w:val=""/>
      <w:lvlJc w:val="left"/>
      <w:pPr>
        <w:tabs>
          <w:tab w:val="num" w:pos="4320"/>
        </w:tabs>
        <w:ind w:left="4320" w:hanging="360"/>
      </w:pPr>
      <w:rPr>
        <w:rFonts w:ascii="Symbol" w:hAnsi="Symbol" w:hint="default"/>
      </w:rPr>
    </w:lvl>
    <w:lvl w:ilvl="6" w:tplc="451E04FC" w:tentative="1">
      <w:start w:val="1"/>
      <w:numFmt w:val="bullet"/>
      <w:lvlText w:val=""/>
      <w:lvlJc w:val="left"/>
      <w:pPr>
        <w:tabs>
          <w:tab w:val="num" w:pos="5040"/>
        </w:tabs>
        <w:ind w:left="5040" w:hanging="360"/>
      </w:pPr>
      <w:rPr>
        <w:rFonts w:ascii="Symbol" w:hAnsi="Symbol" w:hint="default"/>
      </w:rPr>
    </w:lvl>
    <w:lvl w:ilvl="7" w:tplc="80EC7046" w:tentative="1">
      <w:start w:val="1"/>
      <w:numFmt w:val="bullet"/>
      <w:lvlText w:val=""/>
      <w:lvlJc w:val="left"/>
      <w:pPr>
        <w:tabs>
          <w:tab w:val="num" w:pos="5760"/>
        </w:tabs>
        <w:ind w:left="5760" w:hanging="360"/>
      </w:pPr>
      <w:rPr>
        <w:rFonts w:ascii="Symbol" w:hAnsi="Symbol" w:hint="default"/>
      </w:rPr>
    </w:lvl>
    <w:lvl w:ilvl="8" w:tplc="BA0E568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DBE56FF"/>
    <w:multiLevelType w:val="multilevel"/>
    <w:tmpl w:val="8F505346"/>
    <w:lvl w:ilvl="0">
      <w:start w:val="1"/>
      <w:numFmt w:val="decimal"/>
      <w:lvlText w:val="%1."/>
      <w:lvlJc w:val="left"/>
      <w:pPr>
        <w:tabs>
          <w:tab w:val="num" w:pos="720"/>
        </w:tabs>
        <w:ind w:left="605" w:hanging="375"/>
      </w:pPr>
      <w:rPr>
        <w:rFonts w:ascii="Arial Unicode MS" w:eastAsia="Arial Unicode MS" w:hAnsi="Arial Unicode MS" w:cs="Arial Unicode MS"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053A"/>
    <w:rsid w:val="00031F82"/>
    <w:rsid w:val="00035D1B"/>
    <w:rsid w:val="00042051"/>
    <w:rsid w:val="000433D5"/>
    <w:rsid w:val="00053362"/>
    <w:rsid w:val="00055811"/>
    <w:rsid w:val="00074314"/>
    <w:rsid w:val="000A4181"/>
    <w:rsid w:val="000A4996"/>
    <w:rsid w:val="000B19B0"/>
    <w:rsid w:val="000C3B9C"/>
    <w:rsid w:val="000D02BF"/>
    <w:rsid w:val="000E332E"/>
    <w:rsid w:val="000F3AD0"/>
    <w:rsid w:val="000F4CF3"/>
    <w:rsid w:val="000F7886"/>
    <w:rsid w:val="00117F49"/>
    <w:rsid w:val="00136C79"/>
    <w:rsid w:val="001401B5"/>
    <w:rsid w:val="00142C27"/>
    <w:rsid w:val="001468E2"/>
    <w:rsid w:val="00147EF4"/>
    <w:rsid w:val="00162658"/>
    <w:rsid w:val="001670B5"/>
    <w:rsid w:val="001B33A4"/>
    <w:rsid w:val="001D4235"/>
    <w:rsid w:val="001D5B57"/>
    <w:rsid w:val="001D6615"/>
    <w:rsid w:val="001E31F7"/>
    <w:rsid w:val="0020033D"/>
    <w:rsid w:val="00203D90"/>
    <w:rsid w:val="00216612"/>
    <w:rsid w:val="00221D3C"/>
    <w:rsid w:val="00235483"/>
    <w:rsid w:val="002620AD"/>
    <w:rsid w:val="00277016"/>
    <w:rsid w:val="002D5408"/>
    <w:rsid w:val="002E5165"/>
    <w:rsid w:val="00301630"/>
    <w:rsid w:val="00305819"/>
    <w:rsid w:val="00337B61"/>
    <w:rsid w:val="00341E78"/>
    <w:rsid w:val="00351788"/>
    <w:rsid w:val="003622B1"/>
    <w:rsid w:val="003626F7"/>
    <w:rsid w:val="0036298D"/>
    <w:rsid w:val="00381B51"/>
    <w:rsid w:val="00386162"/>
    <w:rsid w:val="003B737F"/>
    <w:rsid w:val="003E134D"/>
    <w:rsid w:val="003E2F36"/>
    <w:rsid w:val="00401B48"/>
    <w:rsid w:val="0040368B"/>
    <w:rsid w:val="0040690E"/>
    <w:rsid w:val="00414473"/>
    <w:rsid w:val="00424128"/>
    <w:rsid w:val="00425AD0"/>
    <w:rsid w:val="00436998"/>
    <w:rsid w:val="0044136F"/>
    <w:rsid w:val="00463D92"/>
    <w:rsid w:val="00465945"/>
    <w:rsid w:val="004747B5"/>
    <w:rsid w:val="0047678C"/>
    <w:rsid w:val="00477793"/>
    <w:rsid w:val="004A1236"/>
    <w:rsid w:val="004D17F4"/>
    <w:rsid w:val="004D1960"/>
    <w:rsid w:val="004D284B"/>
    <w:rsid w:val="004D5305"/>
    <w:rsid w:val="004F241F"/>
    <w:rsid w:val="004F2CD3"/>
    <w:rsid w:val="004F514A"/>
    <w:rsid w:val="004F6159"/>
    <w:rsid w:val="00513535"/>
    <w:rsid w:val="0052684A"/>
    <w:rsid w:val="005505E5"/>
    <w:rsid w:val="00555B87"/>
    <w:rsid w:val="00567354"/>
    <w:rsid w:val="005708F1"/>
    <w:rsid w:val="00571543"/>
    <w:rsid w:val="00571B92"/>
    <w:rsid w:val="00585B24"/>
    <w:rsid w:val="00594EA8"/>
    <w:rsid w:val="005A2539"/>
    <w:rsid w:val="005A60D3"/>
    <w:rsid w:val="005C160E"/>
    <w:rsid w:val="005D34ED"/>
    <w:rsid w:val="005F1E84"/>
    <w:rsid w:val="006130BA"/>
    <w:rsid w:val="00614B1B"/>
    <w:rsid w:val="006A2439"/>
    <w:rsid w:val="006A50B6"/>
    <w:rsid w:val="006E227D"/>
    <w:rsid w:val="006E267E"/>
    <w:rsid w:val="006E55E4"/>
    <w:rsid w:val="006E6EDE"/>
    <w:rsid w:val="006F3D4C"/>
    <w:rsid w:val="00723025"/>
    <w:rsid w:val="007339AC"/>
    <w:rsid w:val="00762705"/>
    <w:rsid w:val="007654B2"/>
    <w:rsid w:val="00767F23"/>
    <w:rsid w:val="0078514E"/>
    <w:rsid w:val="007A6844"/>
    <w:rsid w:val="007D16AC"/>
    <w:rsid w:val="007D45D6"/>
    <w:rsid w:val="007D6959"/>
    <w:rsid w:val="007D6C27"/>
    <w:rsid w:val="007E0EF9"/>
    <w:rsid w:val="007E57B7"/>
    <w:rsid w:val="007F0555"/>
    <w:rsid w:val="007F12AD"/>
    <w:rsid w:val="007F1FB6"/>
    <w:rsid w:val="007F54A4"/>
    <w:rsid w:val="00803D62"/>
    <w:rsid w:val="008258D4"/>
    <w:rsid w:val="00854DE4"/>
    <w:rsid w:val="008652BA"/>
    <w:rsid w:val="0086718D"/>
    <w:rsid w:val="00876316"/>
    <w:rsid w:val="00886764"/>
    <w:rsid w:val="00890F82"/>
    <w:rsid w:val="008A1964"/>
    <w:rsid w:val="008A4178"/>
    <w:rsid w:val="008A6205"/>
    <w:rsid w:val="008B02C5"/>
    <w:rsid w:val="008B5107"/>
    <w:rsid w:val="008B79C2"/>
    <w:rsid w:val="008C317D"/>
    <w:rsid w:val="008C7CC4"/>
    <w:rsid w:val="008D593F"/>
    <w:rsid w:val="008E4123"/>
    <w:rsid w:val="008F07D8"/>
    <w:rsid w:val="00902EED"/>
    <w:rsid w:val="00934F88"/>
    <w:rsid w:val="00936D15"/>
    <w:rsid w:val="00954CE3"/>
    <w:rsid w:val="0098270C"/>
    <w:rsid w:val="009A27A4"/>
    <w:rsid w:val="009D38A1"/>
    <w:rsid w:val="009E19D5"/>
    <w:rsid w:val="009F7C01"/>
    <w:rsid w:val="00A60FC5"/>
    <w:rsid w:val="00AB053A"/>
    <w:rsid w:val="00AB591A"/>
    <w:rsid w:val="00AD62B0"/>
    <w:rsid w:val="00AE15AA"/>
    <w:rsid w:val="00AE601E"/>
    <w:rsid w:val="00AE65AE"/>
    <w:rsid w:val="00B27AEF"/>
    <w:rsid w:val="00B37F6B"/>
    <w:rsid w:val="00B400EF"/>
    <w:rsid w:val="00B5655B"/>
    <w:rsid w:val="00B63D43"/>
    <w:rsid w:val="00B67B7F"/>
    <w:rsid w:val="00B7685D"/>
    <w:rsid w:val="00B83DC3"/>
    <w:rsid w:val="00B96C0E"/>
    <w:rsid w:val="00BA0397"/>
    <w:rsid w:val="00BA436B"/>
    <w:rsid w:val="00BB5BD7"/>
    <w:rsid w:val="00C143DD"/>
    <w:rsid w:val="00C16DA9"/>
    <w:rsid w:val="00C2681A"/>
    <w:rsid w:val="00C310B6"/>
    <w:rsid w:val="00C34006"/>
    <w:rsid w:val="00C37567"/>
    <w:rsid w:val="00C43FDF"/>
    <w:rsid w:val="00C52B76"/>
    <w:rsid w:val="00C56BE1"/>
    <w:rsid w:val="00C66448"/>
    <w:rsid w:val="00CA4C40"/>
    <w:rsid w:val="00CB1FF9"/>
    <w:rsid w:val="00CB2C6F"/>
    <w:rsid w:val="00CB37FA"/>
    <w:rsid w:val="00CB6F41"/>
    <w:rsid w:val="00CD5605"/>
    <w:rsid w:val="00CD7455"/>
    <w:rsid w:val="00CE5531"/>
    <w:rsid w:val="00CF6E86"/>
    <w:rsid w:val="00D03D98"/>
    <w:rsid w:val="00D06EC3"/>
    <w:rsid w:val="00D538B8"/>
    <w:rsid w:val="00D948E0"/>
    <w:rsid w:val="00DA4E02"/>
    <w:rsid w:val="00DB7CF2"/>
    <w:rsid w:val="00DC0E3F"/>
    <w:rsid w:val="00DF4FFB"/>
    <w:rsid w:val="00E05806"/>
    <w:rsid w:val="00E1318E"/>
    <w:rsid w:val="00E1753E"/>
    <w:rsid w:val="00E25679"/>
    <w:rsid w:val="00E42293"/>
    <w:rsid w:val="00E42EED"/>
    <w:rsid w:val="00E4627F"/>
    <w:rsid w:val="00E5542D"/>
    <w:rsid w:val="00E966D3"/>
    <w:rsid w:val="00EC75DD"/>
    <w:rsid w:val="00ED4F43"/>
    <w:rsid w:val="00EE06BD"/>
    <w:rsid w:val="00EE25B3"/>
    <w:rsid w:val="00EE3834"/>
    <w:rsid w:val="00EF3BD0"/>
    <w:rsid w:val="00F37EED"/>
    <w:rsid w:val="00F447DA"/>
    <w:rsid w:val="00F47C6E"/>
    <w:rsid w:val="00F6270B"/>
    <w:rsid w:val="00F80DD6"/>
    <w:rsid w:val="00F82855"/>
    <w:rsid w:val="00F950EE"/>
    <w:rsid w:val="00FA0D60"/>
    <w:rsid w:val="00FB6BBE"/>
    <w:rsid w:val="00FD1BAB"/>
    <w:rsid w:val="00FF4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D73622"/>
  <w15:docId w15:val="{D0FF3BF9-284A-4031-BE23-BFC96390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53A"/>
    <w:rPr>
      <w:color w:val="0000FF"/>
      <w:u w:val="single"/>
    </w:rPr>
  </w:style>
  <w:style w:type="paragraph" w:styleId="Footer">
    <w:name w:val="footer"/>
    <w:basedOn w:val="Normal"/>
    <w:link w:val="FooterChar"/>
    <w:uiPriority w:val="99"/>
    <w:unhideWhenUsed/>
    <w:rsid w:val="00AB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53A"/>
  </w:style>
  <w:style w:type="paragraph" w:styleId="BalloonText">
    <w:name w:val="Balloon Text"/>
    <w:basedOn w:val="Normal"/>
    <w:link w:val="BalloonTextChar"/>
    <w:uiPriority w:val="99"/>
    <w:semiHidden/>
    <w:unhideWhenUsed/>
    <w:rsid w:val="00AB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53A"/>
    <w:rPr>
      <w:rFonts w:ascii="Tahoma" w:hAnsi="Tahoma" w:cs="Tahoma"/>
      <w:sz w:val="16"/>
      <w:szCs w:val="16"/>
    </w:rPr>
  </w:style>
  <w:style w:type="paragraph" w:styleId="Header">
    <w:name w:val="header"/>
    <w:basedOn w:val="Normal"/>
    <w:link w:val="HeaderChar"/>
    <w:uiPriority w:val="99"/>
    <w:unhideWhenUsed/>
    <w:rsid w:val="008A1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964"/>
  </w:style>
  <w:style w:type="paragraph" w:styleId="ListParagraph">
    <w:name w:val="List Paragraph"/>
    <w:basedOn w:val="Normal"/>
    <w:uiPriority w:val="34"/>
    <w:qFormat/>
    <w:rsid w:val="00277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help.sap.com/saphelp_nwpi71/helpdata/en/f7/e4c5a8a84a11d194eb00a0c929b3c3/frameset.ht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mistryva</dc:creator>
  <cp:lastModifiedBy>Koleshwar, Vandana</cp:lastModifiedBy>
  <cp:revision>6</cp:revision>
  <dcterms:created xsi:type="dcterms:W3CDTF">2012-08-01T03:57:00Z</dcterms:created>
  <dcterms:modified xsi:type="dcterms:W3CDTF">2020-07-07T05:35:00Z</dcterms:modified>
</cp:coreProperties>
</file>