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28C36" w14:textId="77777777" w:rsidR="00D74E9A" w:rsidRDefault="00D74E9A" w:rsidP="00D74E9A">
      <w:pPr>
        <w:pStyle w:val="ListParagraph"/>
        <w:rPr>
          <w:b/>
          <w:bCs/>
        </w:rPr>
      </w:pPr>
      <w:r w:rsidRPr="00C033A8">
        <w:rPr>
          <w:b/>
          <w:bCs/>
        </w:rPr>
        <w:t xml:space="preserve">Chapter </w:t>
      </w:r>
      <w:r>
        <w:rPr>
          <w:b/>
          <w:bCs/>
        </w:rPr>
        <w:t>4</w:t>
      </w:r>
      <w:r w:rsidRPr="00C033A8">
        <w:rPr>
          <w:b/>
          <w:bCs/>
        </w:rPr>
        <w:t>:  HANA SQL</w:t>
      </w:r>
      <w:r>
        <w:rPr>
          <w:b/>
          <w:bCs/>
        </w:rPr>
        <w:t>/Native SQL.</w:t>
      </w:r>
    </w:p>
    <w:p w14:paraId="4AC9AE70" w14:textId="77777777" w:rsidR="00D74E9A" w:rsidRDefault="00D74E9A" w:rsidP="00D74E9A">
      <w:pPr>
        <w:pStyle w:val="ListParagraph"/>
        <w:rPr>
          <w:b/>
          <w:bCs/>
        </w:rPr>
      </w:pPr>
    </w:p>
    <w:p w14:paraId="3635C8B8" w14:textId="77777777" w:rsidR="00D74E9A" w:rsidRDefault="00D74E9A" w:rsidP="00D74E9A">
      <w:pPr>
        <w:pStyle w:val="NormalWeb"/>
        <w:numPr>
          <w:ilvl w:val="0"/>
          <w:numId w:val="1"/>
        </w:numPr>
        <w:shd w:val="clear" w:color="auto" w:fill="FFFFFF"/>
        <w:spacing w:before="0" w:beforeAutospacing="0" w:after="120" w:afterAutospacing="0"/>
        <w:rPr>
          <w:rFonts w:ascii="Arial" w:hAnsi="Arial" w:cs="Arial"/>
          <w:color w:val="444444"/>
          <w:sz w:val="21"/>
          <w:szCs w:val="21"/>
        </w:rPr>
      </w:pPr>
      <w:r w:rsidRPr="000A696F">
        <w:rPr>
          <w:rFonts w:ascii="Arial" w:hAnsi="Arial" w:cs="Arial"/>
          <w:b/>
          <w:bCs/>
          <w:color w:val="444444"/>
          <w:sz w:val="21"/>
          <w:szCs w:val="21"/>
        </w:rPr>
        <w:t>open SQL</w:t>
      </w:r>
      <w:r>
        <w:rPr>
          <w:rFonts w:ascii="Arial" w:hAnsi="Arial" w:cs="Arial"/>
          <w:color w:val="444444"/>
          <w:sz w:val="21"/>
          <w:szCs w:val="21"/>
        </w:rPr>
        <w:t xml:space="preserve"> allows you to access all database tables known to the SAP system, regardless of the database manufacturer. Sometimes, however, we may want to use database-specific SQL statements called Native SQL in your ABAP/4 program.</w:t>
      </w:r>
    </w:p>
    <w:p w14:paraId="48620001" w14:textId="77777777" w:rsidR="00D74E9A" w:rsidRDefault="00D74E9A" w:rsidP="00D74E9A">
      <w:pPr>
        <w:pStyle w:val="NormalWeb"/>
        <w:numPr>
          <w:ilvl w:val="0"/>
          <w:numId w:val="1"/>
        </w:numPr>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 xml:space="preserve">To avoid incompatibilities between different database tables </w:t>
      </w:r>
      <w:proofErr w:type="gramStart"/>
      <w:r>
        <w:rPr>
          <w:rFonts w:ascii="Arial" w:hAnsi="Arial" w:cs="Arial"/>
          <w:color w:val="444444"/>
          <w:sz w:val="21"/>
          <w:szCs w:val="21"/>
        </w:rPr>
        <w:t>and also</w:t>
      </w:r>
      <w:proofErr w:type="gramEnd"/>
      <w:r>
        <w:rPr>
          <w:rFonts w:ascii="Arial" w:hAnsi="Arial" w:cs="Arial"/>
          <w:color w:val="444444"/>
          <w:sz w:val="21"/>
          <w:szCs w:val="21"/>
        </w:rPr>
        <w:t xml:space="preserve"> to make ABAP/4 programs independent of the database system in use, SAP has created a set of separate SQL statements called Open SQL. Open SQL contains a subset of standard SQL statements as well as some enhancements which are specific to SAP.</w:t>
      </w:r>
    </w:p>
    <w:p w14:paraId="72A6F2F0" w14:textId="77777777" w:rsidR="00D74E9A" w:rsidRDefault="00D74E9A" w:rsidP="00D74E9A">
      <w:pPr>
        <w:pStyle w:val="NormalWeb"/>
        <w:numPr>
          <w:ilvl w:val="0"/>
          <w:numId w:val="1"/>
        </w:numPr>
        <w:shd w:val="clear" w:color="auto" w:fill="FFFFFF"/>
        <w:spacing w:before="0" w:beforeAutospacing="0" w:after="0" w:afterAutospacing="0"/>
        <w:rPr>
          <w:rFonts w:ascii="Arial" w:hAnsi="Arial" w:cs="Arial"/>
          <w:color w:val="444444"/>
          <w:sz w:val="21"/>
          <w:szCs w:val="21"/>
        </w:rPr>
      </w:pPr>
      <w:r>
        <w:rPr>
          <w:rFonts w:ascii="Arial" w:hAnsi="Arial" w:cs="Arial"/>
          <w:color w:val="444444"/>
          <w:sz w:val="21"/>
          <w:szCs w:val="21"/>
        </w:rPr>
        <w:t xml:space="preserve">A database interface translates SAP's Open SQL statements into SQL commands specific to the database in use. </w:t>
      </w:r>
    </w:p>
    <w:p w14:paraId="09C2D375" w14:textId="77777777" w:rsidR="00D74E9A" w:rsidRDefault="00D74E9A" w:rsidP="00D74E9A">
      <w:pPr>
        <w:pStyle w:val="NormalWeb"/>
        <w:numPr>
          <w:ilvl w:val="0"/>
          <w:numId w:val="1"/>
        </w:numPr>
        <w:shd w:val="clear" w:color="auto" w:fill="FFFFFF"/>
        <w:spacing w:before="0" w:beforeAutospacing="0" w:after="0" w:afterAutospacing="0"/>
        <w:rPr>
          <w:rFonts w:ascii="Arial" w:hAnsi="Arial" w:cs="Arial"/>
          <w:b/>
          <w:bCs/>
          <w:color w:val="444444"/>
          <w:sz w:val="21"/>
          <w:szCs w:val="21"/>
        </w:rPr>
      </w:pPr>
      <w:r w:rsidRPr="000A696F">
        <w:rPr>
          <w:rFonts w:ascii="Arial" w:hAnsi="Arial" w:cs="Arial"/>
          <w:b/>
          <w:bCs/>
          <w:color w:val="444444"/>
          <w:sz w:val="21"/>
          <w:szCs w:val="21"/>
        </w:rPr>
        <w:t>Native SQL statements access the database directly</w:t>
      </w:r>
      <w:r>
        <w:rPr>
          <w:rFonts w:ascii="Arial" w:hAnsi="Arial" w:cs="Arial"/>
          <w:b/>
          <w:bCs/>
          <w:color w:val="444444"/>
          <w:sz w:val="21"/>
          <w:szCs w:val="21"/>
        </w:rPr>
        <w:t>. HANA SQL is Native SQL.</w:t>
      </w:r>
    </w:p>
    <w:p w14:paraId="1236E322" w14:textId="77777777" w:rsidR="00D74E9A" w:rsidRDefault="00D74E9A" w:rsidP="00D74E9A">
      <w:pPr>
        <w:pStyle w:val="NormalWeb"/>
        <w:shd w:val="clear" w:color="auto" w:fill="FFFFFF"/>
        <w:spacing w:before="0" w:beforeAutospacing="0" w:after="0" w:afterAutospacing="0"/>
        <w:ind w:left="2880"/>
        <w:rPr>
          <w:rFonts w:ascii="Arial" w:hAnsi="Arial" w:cs="Arial"/>
          <w:b/>
          <w:bCs/>
          <w:color w:val="444444"/>
          <w:sz w:val="21"/>
          <w:szCs w:val="21"/>
        </w:rPr>
      </w:pPr>
      <w:r>
        <w:rPr>
          <w:rFonts w:ascii="Arial" w:hAnsi="Arial" w:cs="Arial"/>
          <w:b/>
          <w:bCs/>
          <w:color w:val="444444"/>
          <w:sz w:val="21"/>
          <w:szCs w:val="21"/>
        </w:rPr>
        <w:t>OR</w:t>
      </w:r>
    </w:p>
    <w:p w14:paraId="5EB44898" w14:textId="77777777" w:rsidR="00D74E9A" w:rsidRPr="000A696F" w:rsidRDefault="00D74E9A" w:rsidP="00D74E9A">
      <w:pPr>
        <w:pStyle w:val="NormalWeb"/>
        <w:numPr>
          <w:ilvl w:val="0"/>
          <w:numId w:val="2"/>
        </w:numPr>
        <w:shd w:val="clear" w:color="auto" w:fill="FFFFFF"/>
        <w:spacing w:before="0" w:beforeAutospacing="0" w:after="120" w:afterAutospacing="0"/>
        <w:rPr>
          <w:rFonts w:ascii="Arial" w:hAnsi="Arial" w:cs="Arial"/>
          <w:color w:val="444444"/>
          <w:sz w:val="21"/>
          <w:szCs w:val="21"/>
          <w:highlight w:val="yellow"/>
        </w:rPr>
      </w:pPr>
      <w:r w:rsidRPr="000A696F">
        <w:rPr>
          <w:rFonts w:ascii="Arial" w:hAnsi="Arial" w:cs="Arial"/>
          <w:color w:val="444444"/>
          <w:sz w:val="21"/>
          <w:szCs w:val="21"/>
          <w:highlight w:val="yellow"/>
        </w:rPr>
        <w:t>Open SQL - ABAP specific SQL</w:t>
      </w:r>
    </w:p>
    <w:p w14:paraId="4551E6BB" w14:textId="77777777" w:rsidR="00D74E9A" w:rsidRPr="000A696F" w:rsidRDefault="00D74E9A" w:rsidP="00D74E9A">
      <w:pPr>
        <w:pStyle w:val="NormalWeb"/>
        <w:numPr>
          <w:ilvl w:val="0"/>
          <w:numId w:val="2"/>
        </w:numPr>
        <w:shd w:val="clear" w:color="auto" w:fill="FFFFFF"/>
        <w:spacing w:before="0" w:beforeAutospacing="0" w:after="120" w:afterAutospacing="0"/>
        <w:rPr>
          <w:rFonts w:ascii="Arial" w:hAnsi="Arial" w:cs="Arial"/>
          <w:color w:val="444444"/>
          <w:sz w:val="21"/>
          <w:szCs w:val="21"/>
          <w:highlight w:val="yellow"/>
        </w:rPr>
      </w:pPr>
      <w:r w:rsidRPr="000A696F">
        <w:rPr>
          <w:rFonts w:ascii="Arial" w:hAnsi="Arial" w:cs="Arial"/>
          <w:color w:val="444444"/>
          <w:sz w:val="21"/>
          <w:szCs w:val="21"/>
          <w:highlight w:val="yellow"/>
        </w:rPr>
        <w:t>Native SQL - DB specific SQL</w:t>
      </w:r>
    </w:p>
    <w:p w14:paraId="720D62E8" w14:textId="77777777" w:rsidR="00D74E9A" w:rsidRDefault="00D74E9A" w:rsidP="00D74E9A">
      <w:pPr>
        <w:pStyle w:val="NormalWeb"/>
        <w:numPr>
          <w:ilvl w:val="0"/>
          <w:numId w:val="2"/>
        </w:numPr>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Open SQL allows you to access database tables declared in the ABAP Dictionary regardless of the database platform that you R/3 System is using.</w:t>
      </w:r>
    </w:p>
    <w:p w14:paraId="0698495C" w14:textId="77777777" w:rsidR="00D74E9A" w:rsidRDefault="00D74E9A" w:rsidP="00D74E9A">
      <w:pPr>
        <w:pStyle w:val="NormalWeb"/>
        <w:numPr>
          <w:ilvl w:val="0"/>
          <w:numId w:val="2"/>
        </w:numPr>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Native SQL allows you to use database-specific SQL statements in an ABAP program. This means that you can use database tables that are not administered by the ABAP Dictionary, and therefore integrate data that is not part of the R/3 System.</w:t>
      </w:r>
    </w:p>
    <w:p w14:paraId="1B42F144" w14:textId="77777777" w:rsidR="00D74E9A" w:rsidRDefault="00D74E9A" w:rsidP="00D74E9A">
      <w:pPr>
        <w:pStyle w:val="NormalWeb"/>
        <w:numPr>
          <w:ilvl w:val="0"/>
          <w:numId w:val="2"/>
        </w:numPr>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As a rule, an ABAP program containing database-specific SQL statements will not run under different database systems. If your program will be used on more than one database platform, only use Open SQL statements.</w:t>
      </w:r>
    </w:p>
    <w:p w14:paraId="722E82EF" w14:textId="77777777" w:rsidR="00D74E9A" w:rsidRDefault="00D74E9A" w:rsidP="00D74E9A">
      <w:pPr>
        <w:pStyle w:val="NormalWeb"/>
        <w:shd w:val="clear" w:color="auto" w:fill="FFFFFF"/>
        <w:spacing w:before="0" w:beforeAutospacing="0" w:after="120" w:afterAutospacing="0"/>
        <w:rPr>
          <w:rFonts w:ascii="Arial" w:hAnsi="Arial" w:cs="Arial"/>
          <w:color w:val="444444"/>
          <w:sz w:val="21"/>
          <w:szCs w:val="21"/>
        </w:rPr>
      </w:pPr>
    </w:p>
    <w:p w14:paraId="7D6204BB" w14:textId="77777777" w:rsidR="00D74E9A" w:rsidRPr="000A696F" w:rsidRDefault="00D74E9A" w:rsidP="00D74E9A">
      <w:pPr>
        <w:pStyle w:val="NormalWeb"/>
        <w:shd w:val="clear" w:color="auto" w:fill="FFFFFF"/>
        <w:spacing w:before="0" w:beforeAutospacing="0" w:after="0" w:afterAutospacing="0"/>
        <w:ind w:left="2880"/>
        <w:rPr>
          <w:rFonts w:ascii="Arial" w:hAnsi="Arial" w:cs="Arial"/>
          <w:b/>
          <w:bCs/>
          <w:color w:val="444444"/>
          <w:sz w:val="21"/>
          <w:szCs w:val="21"/>
        </w:rPr>
      </w:pPr>
    </w:p>
    <w:p w14:paraId="345C6827" w14:textId="77777777" w:rsidR="00D74E9A" w:rsidRDefault="00D74E9A" w:rsidP="00D74E9A">
      <w:pPr>
        <w:pStyle w:val="ListParagraph"/>
        <w:numPr>
          <w:ilvl w:val="0"/>
          <w:numId w:val="1"/>
        </w:numPr>
      </w:pPr>
      <w:r>
        <w:t>Syntax very similar to traditional SQL.</w:t>
      </w:r>
    </w:p>
    <w:p w14:paraId="58148180" w14:textId="77777777" w:rsidR="00D74E9A" w:rsidRDefault="00D74E9A" w:rsidP="00D74E9A">
      <w:pPr>
        <w:ind w:left="720"/>
      </w:pPr>
      <w:r>
        <w:t>SELECT column1</w:t>
      </w:r>
      <w:r w:rsidRPr="006E4B83">
        <w:rPr>
          <w:b/>
          <w:bCs/>
        </w:rPr>
        <w:t>,</w:t>
      </w:r>
      <w:r>
        <w:t xml:space="preserve"> column2</w:t>
      </w:r>
      <w:r w:rsidRPr="006E4B83">
        <w:rPr>
          <w:b/>
          <w:bCs/>
        </w:rPr>
        <w:t xml:space="preserve">, </w:t>
      </w:r>
      <w:r>
        <w:t xml:space="preserve">column3 </w:t>
      </w:r>
    </w:p>
    <w:p w14:paraId="25B8E378" w14:textId="77777777" w:rsidR="00D74E9A" w:rsidRDefault="00D74E9A" w:rsidP="00D74E9A">
      <w:pPr>
        <w:ind w:left="720"/>
      </w:pPr>
      <w:r>
        <w:t xml:space="preserve">FROM </w:t>
      </w:r>
      <w:proofErr w:type="spellStart"/>
      <w:r>
        <w:t>tablename</w:t>
      </w:r>
      <w:proofErr w:type="spellEnd"/>
    </w:p>
    <w:p w14:paraId="40FB2F83" w14:textId="77777777" w:rsidR="00D74E9A" w:rsidRDefault="00D74E9A" w:rsidP="00D74E9A">
      <w:pPr>
        <w:ind w:left="720"/>
      </w:pPr>
      <w:r>
        <w:t>Where column1 = condition</w:t>
      </w:r>
    </w:p>
    <w:p w14:paraId="7F5A81EA" w14:textId="77777777" w:rsidR="00D74E9A" w:rsidRDefault="00D74E9A" w:rsidP="00D74E9A">
      <w:pPr>
        <w:ind w:left="720"/>
      </w:pPr>
      <w:r>
        <w:t>Having condition</w:t>
      </w:r>
    </w:p>
    <w:p w14:paraId="4E36D93B" w14:textId="77777777" w:rsidR="00D74E9A" w:rsidRPr="005550DA" w:rsidRDefault="00D74E9A" w:rsidP="00D74E9A">
      <w:pPr>
        <w:ind w:left="720"/>
      </w:pPr>
      <w:r>
        <w:t>Group by column</w:t>
      </w:r>
      <w:r w:rsidRPr="006E4B83">
        <w:rPr>
          <w:b/>
          <w:bCs/>
        </w:rPr>
        <w:t>;</w:t>
      </w:r>
    </w:p>
    <w:p w14:paraId="2583CAA4" w14:textId="77777777" w:rsidR="003A3562" w:rsidRDefault="003A3562">
      <w:bookmarkStart w:id="0" w:name="_GoBack"/>
      <w:bookmarkEnd w:id="0"/>
    </w:p>
    <w:sectPr w:rsidR="003A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A6F58"/>
    <w:multiLevelType w:val="hybridMultilevel"/>
    <w:tmpl w:val="BD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17F7D"/>
    <w:multiLevelType w:val="hybridMultilevel"/>
    <w:tmpl w:val="0BB230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9A"/>
    <w:rsid w:val="003A3562"/>
    <w:rsid w:val="00BB162E"/>
    <w:rsid w:val="00D74E9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041E"/>
  <w15:chartTrackingRefBased/>
  <w15:docId w15:val="{092713CB-80D4-4A8A-8632-FE685400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4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E9A"/>
    <w:pPr>
      <w:ind w:left="720"/>
      <w:contextualSpacing/>
    </w:pPr>
  </w:style>
  <w:style w:type="paragraph" w:styleId="NormalWeb">
    <w:name w:val="Normal (Web)"/>
    <w:basedOn w:val="Normal"/>
    <w:uiPriority w:val="99"/>
    <w:unhideWhenUsed/>
    <w:rsid w:val="00D74E9A"/>
    <w:pPr>
      <w:spacing w:before="100" w:beforeAutospacing="1" w:after="100" w:afterAutospacing="1" w:line="240" w:lineRule="auto"/>
    </w:pPr>
    <w:rPr>
      <w:rFonts w:ascii="Times New Roman" w:eastAsia="Times New Roman" w:hAnsi="Times New Roman" w:cs="Times New Roman"/>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Thomson, Alphy Chenganiyadan</cp:lastModifiedBy>
  <cp:revision>2</cp:revision>
  <dcterms:created xsi:type="dcterms:W3CDTF">2020-05-15T02:53:00Z</dcterms:created>
  <dcterms:modified xsi:type="dcterms:W3CDTF">2020-05-15T02:53:00Z</dcterms:modified>
</cp:coreProperties>
</file>