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7D0E" w14:textId="77777777" w:rsidR="00901A71" w:rsidRDefault="00901A71" w:rsidP="004B193D">
      <w:pPr>
        <w:jc w:val="both"/>
        <w:rPr>
          <w:sz w:val="32"/>
          <w:szCs w:val="32"/>
        </w:rPr>
      </w:pPr>
      <w:r>
        <w:rPr>
          <w:noProof/>
        </w:rPr>
        <w:drawing>
          <wp:inline distT="0" distB="0" distL="0" distR="0" wp14:anchorId="15C18D7E" wp14:editId="3D5DE2DB">
            <wp:extent cx="35052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5200" cy="304800"/>
                    </a:xfrm>
                    <a:prstGeom prst="rect">
                      <a:avLst/>
                    </a:prstGeom>
                  </pic:spPr>
                </pic:pic>
              </a:graphicData>
            </a:graphic>
          </wp:inline>
        </w:drawing>
      </w:r>
    </w:p>
    <w:p w14:paraId="3A60BEF8" w14:textId="205634F7" w:rsidR="0004401A" w:rsidRDefault="00D64395" w:rsidP="004B193D">
      <w:pPr>
        <w:jc w:val="both"/>
        <w:rPr>
          <w:sz w:val="32"/>
          <w:szCs w:val="32"/>
        </w:rPr>
      </w:pPr>
      <w:r w:rsidRPr="004B193D">
        <w:rPr>
          <w:sz w:val="32"/>
          <w:szCs w:val="32"/>
        </w:rPr>
        <w:t xml:space="preserve">we would say READ TABLE and then we specify the table we want to read, which is itab02. We specify the index of the record we want to read. But instead of leaving it there with a full stop, we continue to say and store the record into our work area. </w:t>
      </w:r>
    </w:p>
    <w:p w14:paraId="42019303" w14:textId="77777777" w:rsidR="0004401A" w:rsidRDefault="0004401A" w:rsidP="004B193D">
      <w:pPr>
        <w:jc w:val="both"/>
        <w:rPr>
          <w:sz w:val="32"/>
          <w:szCs w:val="32"/>
        </w:rPr>
      </w:pPr>
      <w:r>
        <w:rPr>
          <w:noProof/>
        </w:rPr>
        <w:drawing>
          <wp:inline distT="0" distB="0" distL="0" distR="0" wp14:anchorId="2D800351" wp14:editId="230C0E46">
            <wp:extent cx="28575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228600"/>
                    </a:xfrm>
                    <a:prstGeom prst="rect">
                      <a:avLst/>
                    </a:prstGeom>
                  </pic:spPr>
                </pic:pic>
              </a:graphicData>
            </a:graphic>
          </wp:inline>
        </w:drawing>
      </w:r>
    </w:p>
    <w:p w14:paraId="5459135D" w14:textId="4B259C1F" w:rsidR="00AF294F" w:rsidRDefault="00E27415" w:rsidP="004B193D">
      <w:pPr>
        <w:jc w:val="both"/>
        <w:rPr>
          <w:sz w:val="32"/>
          <w:szCs w:val="32"/>
        </w:rPr>
      </w:pPr>
      <w:r w:rsidRPr="004B193D">
        <w:rPr>
          <w:sz w:val="32"/>
          <w:szCs w:val="32"/>
        </w:rPr>
        <w:t>quite often you do not know the index number of the record you want to read, so you would use the with key addition.</w:t>
      </w:r>
    </w:p>
    <w:p w14:paraId="6CD66FF7" w14:textId="77777777" w:rsidR="00AF294F" w:rsidRDefault="00AF294F" w:rsidP="004B193D">
      <w:pPr>
        <w:jc w:val="both"/>
        <w:rPr>
          <w:sz w:val="32"/>
          <w:szCs w:val="32"/>
        </w:rPr>
      </w:pPr>
      <w:r>
        <w:rPr>
          <w:noProof/>
        </w:rPr>
        <w:drawing>
          <wp:inline distT="0" distB="0" distL="0" distR="0" wp14:anchorId="468AAAE2" wp14:editId="50CA748C">
            <wp:extent cx="33051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438150"/>
                    </a:xfrm>
                    <a:prstGeom prst="rect">
                      <a:avLst/>
                    </a:prstGeom>
                  </pic:spPr>
                </pic:pic>
              </a:graphicData>
            </a:graphic>
          </wp:inline>
        </w:drawing>
      </w:r>
    </w:p>
    <w:p w14:paraId="35666A11" w14:textId="77777777" w:rsidR="003A405A" w:rsidRDefault="004B193D" w:rsidP="004B193D">
      <w:pPr>
        <w:jc w:val="both"/>
        <w:rPr>
          <w:sz w:val="32"/>
          <w:szCs w:val="32"/>
        </w:rPr>
      </w:pPr>
      <w:r w:rsidRPr="004B193D">
        <w:rPr>
          <w:sz w:val="32"/>
          <w:szCs w:val="32"/>
        </w:rPr>
        <w:t xml:space="preserve">we specify with key, and then we specify the key we want to use. </w:t>
      </w:r>
      <w:r w:rsidRPr="004B193D">
        <w:rPr>
          <w:sz w:val="32"/>
          <w:szCs w:val="32"/>
        </w:rPr>
        <w:t>So,</w:t>
      </w:r>
      <w:r w:rsidRPr="004B193D">
        <w:rPr>
          <w:sz w:val="32"/>
          <w:szCs w:val="32"/>
        </w:rPr>
        <w:t xml:space="preserve"> in our case let's use surname equals Smith. So just as before when we specify the work </w:t>
      </w:r>
      <w:r w:rsidRPr="004B193D">
        <w:rPr>
          <w:sz w:val="32"/>
          <w:szCs w:val="32"/>
        </w:rPr>
        <w:t>area,</w:t>
      </w:r>
      <w:r w:rsidRPr="004B193D">
        <w:rPr>
          <w:sz w:val="32"/>
          <w:szCs w:val="32"/>
        </w:rPr>
        <w:t xml:space="preserve"> we want to read the record into</w:t>
      </w:r>
      <w:r w:rsidR="008A7F95">
        <w:rPr>
          <w:sz w:val="32"/>
          <w:szCs w:val="32"/>
        </w:rPr>
        <w:t>.</w:t>
      </w:r>
      <w:r w:rsidR="003A405A">
        <w:rPr>
          <w:sz w:val="32"/>
          <w:szCs w:val="32"/>
        </w:rPr>
        <w:t xml:space="preserve"> </w:t>
      </w:r>
    </w:p>
    <w:p w14:paraId="56020F51" w14:textId="77777777" w:rsidR="003A405A" w:rsidRDefault="004B193D" w:rsidP="004B193D">
      <w:pPr>
        <w:jc w:val="both"/>
        <w:rPr>
          <w:sz w:val="32"/>
          <w:szCs w:val="32"/>
        </w:rPr>
      </w:pPr>
      <w:r w:rsidRPr="004B193D">
        <w:rPr>
          <w:sz w:val="32"/>
          <w:szCs w:val="32"/>
        </w:rPr>
        <w:t xml:space="preserve">The record is transferred to our work area based on our key to allow us to continue with the rest of our program. </w:t>
      </w:r>
    </w:p>
    <w:p w14:paraId="5E3DCA2D" w14:textId="2FBC4EF7" w:rsidR="00937A2B" w:rsidRPr="004B193D" w:rsidRDefault="004B193D" w:rsidP="004B193D">
      <w:pPr>
        <w:jc w:val="both"/>
        <w:rPr>
          <w:sz w:val="32"/>
          <w:szCs w:val="32"/>
        </w:rPr>
      </w:pPr>
      <w:r w:rsidRPr="004B193D">
        <w:rPr>
          <w:sz w:val="32"/>
          <w:szCs w:val="32"/>
        </w:rPr>
        <w:t>With internal tables that have headlines. You need to keep in mind that tables without unique keys can have multiple records. That match the criteria that you specify with your read statement.</w:t>
      </w:r>
    </w:p>
    <w:sectPr w:rsidR="00937A2B" w:rsidRPr="004B1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4A"/>
    <w:rsid w:val="0004401A"/>
    <w:rsid w:val="00226C4A"/>
    <w:rsid w:val="003A405A"/>
    <w:rsid w:val="003C754A"/>
    <w:rsid w:val="004B193D"/>
    <w:rsid w:val="008A7F95"/>
    <w:rsid w:val="00901A71"/>
    <w:rsid w:val="00937A2B"/>
    <w:rsid w:val="00AF294F"/>
    <w:rsid w:val="00D64395"/>
    <w:rsid w:val="00DC07C5"/>
    <w:rsid w:val="00E27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CEE7"/>
  <w15:chartTrackingRefBased/>
  <w15:docId w15:val="{37FE7FB2-B573-4E52-829E-DB6818FB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11</cp:revision>
  <dcterms:created xsi:type="dcterms:W3CDTF">2022-09-25T19:06:00Z</dcterms:created>
  <dcterms:modified xsi:type="dcterms:W3CDTF">2022-09-25T19:14:00Z</dcterms:modified>
</cp:coreProperties>
</file>