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1EFF" w14:textId="77777777" w:rsidR="004571E1" w:rsidRDefault="002D47CD" w:rsidP="002D47CD">
      <w:pPr>
        <w:jc w:val="both"/>
        <w:rPr>
          <w:sz w:val="32"/>
          <w:szCs w:val="32"/>
        </w:rPr>
      </w:pPr>
      <w:r w:rsidRPr="002D47CD">
        <w:rPr>
          <w:sz w:val="32"/>
          <w:szCs w:val="32"/>
        </w:rPr>
        <w:t xml:space="preserve">function modules are just specific procedures that defined within function groups and can be called from any other ABAP program. The function group acts like a container for all the function modules that logically belong together. </w:t>
      </w:r>
    </w:p>
    <w:p w14:paraId="02B27FFA" w14:textId="77777777" w:rsidR="00075AFC" w:rsidRDefault="002D47CD" w:rsidP="002D47CD">
      <w:pPr>
        <w:jc w:val="both"/>
        <w:rPr>
          <w:sz w:val="32"/>
          <w:szCs w:val="32"/>
        </w:rPr>
      </w:pPr>
      <w:r w:rsidRPr="002D47CD">
        <w:rPr>
          <w:sz w:val="32"/>
          <w:szCs w:val="32"/>
        </w:rPr>
        <w:t xml:space="preserve">we're going to </w:t>
      </w:r>
      <w:r w:rsidR="008B4696" w:rsidRPr="002D47CD">
        <w:rPr>
          <w:sz w:val="32"/>
          <w:szCs w:val="32"/>
        </w:rPr>
        <w:t>look</w:t>
      </w:r>
      <w:r w:rsidRPr="002D47CD">
        <w:rPr>
          <w:sz w:val="32"/>
          <w:szCs w:val="32"/>
        </w:rPr>
        <w:t xml:space="preserve"> at the function build up. function builder can be found under tools, ABAP workbench, developments, and you'll see it here. </w:t>
      </w:r>
    </w:p>
    <w:p w14:paraId="79805296" w14:textId="6C0B1358" w:rsidR="00937A2B" w:rsidRPr="002D47CD" w:rsidRDefault="002D47CD" w:rsidP="002D47CD">
      <w:pPr>
        <w:jc w:val="both"/>
        <w:rPr>
          <w:sz w:val="32"/>
          <w:szCs w:val="32"/>
        </w:rPr>
      </w:pPr>
      <w:r w:rsidRPr="002D47CD">
        <w:rPr>
          <w:sz w:val="32"/>
          <w:szCs w:val="32"/>
        </w:rPr>
        <w:t>you'll also be able to call it up using transaction SE37.</w:t>
      </w:r>
    </w:p>
    <w:sectPr w:rsidR="00937A2B" w:rsidRPr="002D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BC"/>
    <w:rsid w:val="00075AFC"/>
    <w:rsid w:val="000E5B7C"/>
    <w:rsid w:val="002D47CD"/>
    <w:rsid w:val="003272D0"/>
    <w:rsid w:val="004571E1"/>
    <w:rsid w:val="004B2CA2"/>
    <w:rsid w:val="0050614F"/>
    <w:rsid w:val="00532BBC"/>
    <w:rsid w:val="008B4696"/>
    <w:rsid w:val="00937A2B"/>
    <w:rsid w:val="00F2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A97D"/>
  <w15:chartTrackingRefBased/>
  <w15:docId w15:val="{D5AE1996-EE9F-48E8-BA5E-B12FFDE7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10</cp:revision>
  <dcterms:created xsi:type="dcterms:W3CDTF">2022-09-28T07:24:00Z</dcterms:created>
  <dcterms:modified xsi:type="dcterms:W3CDTF">2022-09-28T10:35:00Z</dcterms:modified>
</cp:coreProperties>
</file>