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olor w:val="1F3864"/>
          <w:sz w:val="36"/>
          <w:szCs w:val="36"/>
        </w:rPr>
        <w:t xml:space="preserve">QUANTUM-SAFE MINI-VPN SYSTEM USING</w:t>
      </w:r>
    </w:p>
    <w:p>
      <w:pPr>
        <w:spacing w:before="0" w:after="60"/>
        <w:jc w:val="center"/>
      </w:pPr>
      <w:r>
        <w:rPr>
          <w:rFonts w:ascii="Arial" w:cs="Arial" w:eastAsia="Arial" w:hAnsi="Arial"/>
          <w:b/>
          <w:bCs/>
          <w:color w:val="1F3864"/>
          <w:sz w:val="36"/>
          <w:szCs w:val="36"/>
        </w:rPr>
        <w:t xml:space="preserve">POST-QUANTUM CRYPTOGRAPHY (KYBER-768 / ML-KEM)</w:t>
      </w:r>
    </w:p>
    <w:p>
      <w:pPr>
        <w:pBdr>
          <w:bottom w:val="single" w:color="2E75B6" w:sz="8" w:space="4"/>
        </w:pBdr>
        <w:spacing w:before="40" w:after="40"/>
        <w:jc w:val="center"/>
      </w:pPr>
      <w:r>
        <w:rPr>
          <w:rFonts w:ascii="Arial" w:cs="Arial" w:eastAsia="Arial" w:hAnsi="Arial"/>
          <w:i/>
          <w:iCs/>
          <w:color w:val="444444"/>
          <w:sz w:val="22"/>
          <w:szCs w:val="22"/>
        </w:rPr>
        <w:t xml:space="preserve">Technical Research &amp; Patentability Assessment Document</w:t>
      </w:r>
    </w:p>
    <w:p>
      <w:pPr>
        <w:spacing w:before="60" w:after="200"/>
        <w:jc w:val="center"/>
      </w:pPr>
      <w:r>
        <w:rPr>
          <w:rFonts w:ascii="Arial" w:cs="Arial" w:eastAsia="Arial" w:hAnsi="Arial"/>
          <w:color w:val="666666"/>
          <w:sz w:val="20"/>
          <w:szCs w:val="20"/>
        </w:rPr>
        <w:t xml:space="preserve">Author: Abhi-0888     |     Platform: GitHub (Mini_Tunnel)     |     Date: March 2026</w:t>
      </w:r>
    </w:p>
    <w:p>
      <w:pPr>
        <w:pStyle w:val="Heading1"/>
        <w:pBdr>
          <w:bottom w:val="single" w:color="2E75B6" w:sz="6" w:space="1"/>
        </w:pBdr>
        <w:spacing w:before="280" w:after="120"/>
      </w:pPr>
      <w:r>
        <w:rPr>
          <w:rFonts w:ascii="Arial" w:cs="Arial" w:eastAsia="Arial" w:hAnsi="Arial"/>
          <w:b/>
          <w:bCs/>
          <w:color w:val="1F3864"/>
          <w:sz w:val="28"/>
          <w:szCs w:val="28"/>
        </w:rPr>
        <w:t xml:space="preserve">Abstract</w:t>
      </w:r>
    </w:p>
    <w:p>
      <w:pPr>
        <w:spacing w:before="80" w:after="80"/>
        <w:jc w:val="both"/>
      </w:pPr>
      <w:r>
        <w:rPr>
          <w:rFonts w:ascii="Arial" w:cs="Arial" w:eastAsia="Arial" w:hAnsi="Arial"/>
          <w:sz w:val="22"/>
          <w:szCs w:val="22"/>
        </w:rPr>
        <w:t xml:space="preserve">This document presents a technical research overview and patentability assessment of the </w:t>
      </w:r>
      <w:r>
        <w:rPr>
          <w:rFonts w:ascii="Arial" w:cs="Arial" w:eastAsia="Arial" w:hAnsi="Arial"/>
          <w:b/>
          <w:bCs/>
          <w:color w:val="000000"/>
          <w:sz w:val="22"/>
          <w:szCs w:val="22"/>
        </w:rPr>
        <w:t xml:space="preserve">Quantum-Safe Mini-VPN System</w:t>
      </w:r>
      <w:r>
        <w:rPr>
          <w:rFonts w:ascii="Arial" w:cs="Arial" w:eastAsia="Arial" w:hAnsi="Arial"/>
          <w:sz w:val="22"/>
          <w:szCs w:val="22"/>
        </w:rPr>
        <w:t xml:space="preserve">, a Python-based Virtual Private Network prototype that integrates </w:t>
      </w:r>
      <w:r>
        <w:rPr>
          <w:rFonts w:ascii="Arial" w:cs="Arial" w:eastAsia="Arial" w:hAnsi="Arial"/>
          <w:b/>
          <w:bCs/>
          <w:color w:val="000000"/>
          <w:sz w:val="22"/>
          <w:szCs w:val="22"/>
        </w:rPr>
        <w:t xml:space="preserve">CRYSTALS-Kyber-768 (NIST FIPS 203 / ML-KEM)</w:t>
      </w:r>
      <w:r>
        <w:rPr>
          <w:rFonts w:ascii="Arial" w:cs="Arial" w:eastAsia="Arial" w:hAnsi="Arial"/>
          <w:sz w:val="22"/>
          <w:szCs w:val="22"/>
        </w:rPr>
        <w:t xml:space="preserve"> post-quantum key encapsulation with </w:t>
      </w:r>
      <w:r>
        <w:rPr>
          <w:rFonts w:ascii="Arial" w:cs="Arial" w:eastAsia="Arial" w:hAnsi="Arial"/>
          <w:b/>
          <w:bCs/>
          <w:color w:val="000000"/>
          <w:sz w:val="22"/>
          <w:szCs w:val="22"/>
        </w:rPr>
        <w:t xml:space="preserve">AES-256-GCM</w:t>
      </w:r>
      <w:r>
        <w:rPr>
          <w:rFonts w:ascii="Arial" w:cs="Arial" w:eastAsia="Arial" w:hAnsi="Arial"/>
          <w:sz w:val="22"/>
          <w:szCs w:val="22"/>
        </w:rPr>
        <w:t xml:space="preserve"> authenticated encryption. The system is evaluated for novelty, prior-art landscape, deployment readiness in safety-critical domains (healthcare, defence, and government infrastructure), and its potential path to publication or patent protection. The paper concludes with an honest assessment of what is genuinely new and actionable recommendations for strengthening the research contribution.</w:t>
      </w:r>
    </w:p>
    <w:p>
      <w:pPr>
        <w:pStyle w:val="Heading1"/>
        <w:pBdr>
          <w:bottom w:val="single" w:color="2E75B6" w:sz="6" w:space="1"/>
        </w:pBdr>
        <w:spacing w:before="280" w:after="120"/>
      </w:pPr>
      <w:r>
        <w:rPr>
          <w:rFonts w:ascii="Arial" w:cs="Arial" w:eastAsia="Arial" w:hAnsi="Arial"/>
          <w:b/>
          <w:bCs/>
          <w:color w:val="1F3864"/>
          <w:sz w:val="28"/>
          <w:szCs w:val="28"/>
        </w:rPr>
        <w:t xml:space="preserve">1. Problem Statement</w:t>
      </w:r>
    </w:p>
    <w:p>
      <w:pPr>
        <w:spacing w:before="80" w:after="80"/>
        <w:jc w:val="both"/>
      </w:pPr>
      <w:r>
        <w:rPr>
          <w:rFonts w:ascii="Arial" w:cs="Arial" w:eastAsia="Arial" w:hAnsi="Arial"/>
          <w:sz w:val="22"/>
          <w:szCs w:val="22"/>
        </w:rPr>
        <w:t xml:space="preserve">Modern communication networks protecting sensitive data in medical, military, and governmental sectors rely almost entirely on classical public-key cryptography — specifically </w:t>
      </w:r>
      <w:r>
        <w:rPr>
          <w:rFonts w:ascii="Arial" w:cs="Arial" w:eastAsia="Arial" w:hAnsi="Arial"/>
          <w:b/>
          <w:bCs/>
          <w:color w:val="000000"/>
          <w:sz w:val="22"/>
          <w:szCs w:val="22"/>
        </w:rPr>
        <w:t xml:space="preserve">Elliptic Curve Diffie-Hellman (ECDH)</w:t>
      </w:r>
      <w:r>
        <w:rPr>
          <w:rFonts w:ascii="Arial" w:cs="Arial" w:eastAsia="Arial" w:hAnsi="Arial"/>
          <w:sz w:val="22"/>
          <w:szCs w:val="22"/>
        </w:rPr>
        <w:t xml:space="preserve"> and </w:t>
      </w:r>
      <w:r>
        <w:rPr>
          <w:rFonts w:ascii="Arial" w:cs="Arial" w:eastAsia="Arial" w:hAnsi="Arial"/>
          <w:b/>
          <w:bCs/>
          <w:color w:val="000000"/>
          <w:sz w:val="22"/>
          <w:szCs w:val="22"/>
        </w:rPr>
        <w:t xml:space="preserve">RSA</w:t>
      </w:r>
      <w:r>
        <w:rPr>
          <w:rFonts w:ascii="Arial" w:cs="Arial" w:eastAsia="Arial" w:hAnsi="Arial"/>
          <w:sz w:val="22"/>
          <w:szCs w:val="22"/>
        </w:rPr>
        <w:t xml:space="preserve"> — for key exchange. These algorithms derive their security from the computational hardness of the discrete-logarithm and integer-factorisation problems. A sufficiently powerful quantum computer running </w:t>
      </w:r>
      <w:r>
        <w:rPr>
          <w:rFonts w:ascii="Arial" w:cs="Arial" w:eastAsia="Arial" w:hAnsi="Arial"/>
          <w:b/>
          <w:bCs/>
          <w:color w:val="000000"/>
          <w:sz w:val="22"/>
          <w:szCs w:val="22"/>
        </w:rPr>
        <w:t xml:space="preserve">Shor's Algorithm</w:t>
      </w:r>
      <w:r>
        <w:rPr>
          <w:rFonts w:ascii="Arial" w:cs="Arial" w:eastAsia="Arial" w:hAnsi="Arial"/>
          <w:sz w:val="22"/>
          <w:szCs w:val="22"/>
        </w:rPr>
        <w:t xml:space="preserve"> can solve both problems in polynomial time, rendering every currently deployed VPN, TLS session, and encrypted government channel retroactively breakable.</w:t>
      </w:r>
    </w:p>
    <w:p>
      <w:pPr>
        <w:spacing w:before="80" w:after="80"/>
        <w:jc w:val="both"/>
      </w:pPr>
      <w:r>
        <w:rPr>
          <w:rFonts w:ascii="Arial" w:cs="Arial" w:eastAsia="Arial" w:hAnsi="Arial"/>
          <w:sz w:val="22"/>
          <w:szCs w:val="22"/>
        </w:rPr>
        <w:t xml:space="preserve">The threat is not theoretical or distant. Nation-state actors are already executing </w:t>
      </w:r>
      <w:r>
        <w:rPr>
          <w:rFonts w:ascii="Arial" w:cs="Arial" w:eastAsia="Arial" w:hAnsi="Arial"/>
          <w:b/>
          <w:bCs/>
          <w:color w:val="000000"/>
          <w:sz w:val="22"/>
          <w:szCs w:val="22"/>
        </w:rPr>
        <w:t xml:space="preserve">"Harvest Now, Decrypt Later" (HNDL)</w:t>
      </w:r>
      <w:r>
        <w:rPr>
          <w:rFonts w:ascii="Arial" w:cs="Arial" w:eastAsia="Arial" w:hAnsi="Arial"/>
          <w:sz w:val="22"/>
          <w:szCs w:val="22"/>
        </w:rPr>
        <w:t xml:space="preserve"> campaigns: intercepting and archiving encrypted traffic today, intending to decrypt it once cryptographically-relevant quantum computers become available (projected 2030–2040 by NIST, NSA, and NCSC). For data with long-term sensitivity — patient health records, classified defence intelligence, national-security policies — this window represents an unacceptable and </w:t>
      </w:r>
      <w:r>
        <w:rPr>
          <w:rFonts w:ascii="Arial" w:cs="Arial" w:eastAsia="Arial" w:hAnsi="Arial"/>
          <w:b/>
          <w:bCs/>
          <w:color w:val="000000"/>
          <w:sz w:val="22"/>
          <w:szCs w:val="22"/>
        </w:rPr>
        <w:t xml:space="preserve">immediate</w:t>
      </w:r>
      <w:r>
        <w:rPr>
          <w:rFonts w:ascii="Arial" w:cs="Arial" w:eastAsia="Arial" w:hAnsi="Arial"/>
          <w:sz w:val="22"/>
          <w:szCs w:val="22"/>
        </w:rPr>
        <w:t xml:space="preserve"> risk.</w:t>
      </w:r>
    </w:p>
    <w:p>
      <w:pPr>
        <w:spacing w:before="80" w:after="80"/>
        <w:jc w:val="both"/>
      </w:pPr>
      <w:r>
        <w:rPr>
          <w:rFonts w:ascii="Arial" w:cs="Arial" w:eastAsia="Arial" w:hAnsi="Arial"/>
          <w:sz w:val="22"/>
          <w:szCs w:val="22"/>
        </w:rPr>
        <w:t xml:space="preserve">Specifically, the problem has three dimensions:</w:t>
      </w:r>
    </w:p>
    <w:p>
      <w:pPr>
        <w:pStyle w:val="ListParagraph"/>
        <w:numPr>
          <w:ilvl w:val="0"/>
          <w:numId w:val="2"/>
        </w:numPr>
        <w:spacing w:before="40" w:after="40"/>
      </w:pPr>
      <w:r>
        <w:rPr>
          <w:rFonts w:ascii="Arial" w:cs="Arial" w:eastAsia="Arial" w:hAnsi="Arial"/>
          <w:sz w:val="22"/>
          <w:szCs w:val="22"/>
        </w:rPr>
        <w:t xml:space="preserve">Cryptographic obsolescence: All ECDH/RSA-based VPN handshakes become breakable under quantum attack, exposing data retroactively with zero warning.</w:t>
      </w:r>
    </w:p>
    <w:p>
      <w:pPr>
        <w:pStyle w:val="ListParagraph"/>
        <w:numPr>
          <w:ilvl w:val="0"/>
          <w:numId w:val="2"/>
        </w:numPr>
        <w:spacing w:before="40" w:after="40"/>
      </w:pPr>
      <w:r>
        <w:rPr>
          <w:rFonts w:ascii="Arial" w:cs="Arial" w:eastAsia="Arial" w:hAnsi="Arial"/>
          <w:sz w:val="22"/>
          <w:szCs w:val="22"/>
        </w:rPr>
        <w:t xml:space="preserve">Transition gap: No lightweight, demonstrable reference implementation of a post-quantum VPN tunnel exists that can be studied and adapted by students, researchers, and small organisations transitioning away from classical cryptography.</w:t>
      </w:r>
    </w:p>
    <w:p>
      <w:pPr>
        <w:pStyle w:val="ListParagraph"/>
        <w:numPr>
          <w:ilvl w:val="0"/>
          <w:numId w:val="2"/>
        </w:numPr>
        <w:spacing w:before="40" w:after="40"/>
      </w:pPr>
      <w:r>
        <w:rPr>
          <w:rFonts w:ascii="Arial" w:cs="Arial" w:eastAsia="Arial" w:hAnsi="Arial"/>
          <w:sz w:val="22"/>
          <w:szCs w:val="22"/>
        </w:rPr>
        <w:t xml:space="preserve">Attack-surface awareness: Existing VPN literature rarely couples quantum-safe key exchange with live attack demonstrations (sniffing, tampering, replay), leaving practitioners without hands-on evidence of why these upgrades matter.</w:t>
      </w:r>
    </w:p>
    <w:p>
      <w:pPr>
        <w:spacing w:before="120" w:after="80"/>
      </w:pPr>
      <w:r>
        <w:rPr>
          <w:rFonts w:ascii="Arial" w:cs="Arial" w:eastAsia="Arial" w:hAnsi="Arial"/>
          <w:sz w:val="22"/>
          <w:szCs w:val="22"/>
        </w:rPr>
        <w:t xml:space="preserve">This project directly addresses all three dimensions by building a working, documented, and testable quantum-safe VPN tunnel that can be studied, extended, and deployed as a research artefact.</w:t>
      </w:r>
    </w:p>
    <w:p>
      <w:pPr>
        <w:pStyle w:val="Heading1"/>
        <w:pBdr>
          <w:bottom w:val="single" w:color="2E75B6" w:sz="6" w:space="1"/>
        </w:pBdr>
        <w:spacing w:before="280" w:after="120"/>
      </w:pPr>
      <w:r>
        <w:rPr>
          <w:rFonts w:ascii="Arial" w:cs="Arial" w:eastAsia="Arial" w:hAnsi="Arial"/>
          <w:b/>
          <w:bCs/>
          <w:color w:val="1F3864"/>
          <w:sz w:val="28"/>
          <w:szCs w:val="28"/>
        </w:rPr>
        <w:t xml:space="preserve">2. What is Kyber-768 (ML-KEM) and Why Does it Matter?</w:t>
      </w:r>
    </w:p>
    <w:p>
      <w:pPr>
        <w:spacing w:before="80" w:after="80"/>
        <w:jc w:val="both"/>
      </w:pPr>
      <w:r>
        <w:rPr>
          <w:rFonts w:ascii="Arial" w:cs="Arial" w:eastAsia="Arial" w:hAnsi="Arial"/>
          <w:b/>
          <w:bCs/>
          <w:color w:val="000000"/>
          <w:sz w:val="22"/>
          <w:szCs w:val="22"/>
        </w:rPr>
        <w:t xml:space="preserve">CRYSTALS-Kyber</w:t>
      </w:r>
      <w:r>
        <w:rPr>
          <w:rFonts w:ascii="Arial" w:cs="Arial" w:eastAsia="Arial" w:hAnsi="Arial"/>
          <w:sz w:val="22"/>
          <w:szCs w:val="22"/>
        </w:rPr>
        <w:t xml:space="preserve">, standardised by NIST in August 2024 as </w:t>
      </w:r>
      <w:r>
        <w:rPr>
          <w:rFonts w:ascii="Arial" w:cs="Arial" w:eastAsia="Arial" w:hAnsi="Arial"/>
          <w:b/>
          <w:bCs/>
          <w:color w:val="000000"/>
          <w:sz w:val="22"/>
          <w:szCs w:val="22"/>
        </w:rPr>
        <w:t xml:space="preserve">FIPS 203 (ML-KEM)</w:t>
      </w:r>
      <w:r>
        <w:rPr>
          <w:rFonts w:ascii="Arial" w:cs="Arial" w:eastAsia="Arial" w:hAnsi="Arial"/>
          <w:sz w:val="22"/>
          <w:szCs w:val="22"/>
        </w:rPr>
        <w:t xml:space="preserve">, is a Key Encapsulation Mechanism (KEM) based on the </w:t>
      </w:r>
      <w:r>
        <w:rPr>
          <w:rFonts w:ascii="Arial" w:cs="Arial" w:eastAsia="Arial" w:hAnsi="Arial"/>
          <w:b/>
          <w:bCs/>
          <w:color w:val="000000"/>
          <w:sz w:val="22"/>
          <w:szCs w:val="22"/>
        </w:rPr>
        <w:t xml:space="preserve">Module Learning With Errors (MLWE)</w:t>
      </w:r>
      <w:r>
        <w:rPr>
          <w:rFonts w:ascii="Arial" w:cs="Arial" w:eastAsia="Arial" w:hAnsi="Arial"/>
          <w:sz w:val="22"/>
          <w:szCs w:val="22"/>
        </w:rPr>
        <w:t xml:space="preserve"> lattice problem. It was selected by NIST after a rigorous 7-year evaluation process (2017–2024) and is the only post-quantum KEM in the current NIST standard suite.</w:t>
      </w:r>
    </w:p>
    <w:p>
      <w:pPr>
        <w:spacing w:before="100" w:after="60"/>
      </w:pPr>
      <w:r>
        <w:rPr>
          <w:rFonts w:ascii="Arial" w:cs="Arial" w:eastAsia="Arial" w:hAnsi="Arial"/>
          <w:b/>
          <w:bCs/>
          <w:color w:val="1F3864"/>
          <w:sz w:val="22"/>
          <w:szCs w:val="22"/>
        </w:rPr>
        <w:t xml:space="preserve">Table 1: Kyber Parameter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5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Kyber-512 (Level 1)</w:t>
            </w:r>
          </w:p>
        </w:tc>
        <w:tc>
          <w:tcPr>
            <w:tcW w:type="dxa" w:w="25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Kyber-768 (Level 3) ✓</w:t>
            </w:r>
          </w:p>
        </w:tc>
        <w:tc>
          <w:tcPr>
            <w:tcW w:type="dxa" w:w="25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Kyber-1024 (Level 5)</w:t>
            </w:r>
          </w:p>
        </w:tc>
      </w:tr>
      <w:tr>
        <w:trPr>
          <w:tblHeader w:val="false"/>
        </w:trPr>
        <w:tc>
          <w:tcPr>
            <w:tcW w:type="dxa" w:w="25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Classical Security</w:t>
            </w:r>
          </w:p>
        </w:tc>
        <w:tc>
          <w:tcPr>
            <w:tcW w:type="dxa" w:w="25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AES-128</w:t>
            </w:r>
          </w:p>
        </w:tc>
        <w:tc>
          <w:tcPr>
            <w:tcW w:type="dxa" w:w="2520"/>
            <w:tcBorders>
              <w:top w:val="single" w:color="AAAAAA" w:sz="1"/>
              <w:left w:val="single" w:color="AAAAAA" w:sz="1"/>
              <w:bottom w:val="single" w:color="AAAAAA" w:sz="1"/>
              <w:right w:val="single" w:color="AAAAAA" w:sz="1"/>
            </w:tcBorders>
            <w:shd w:fill="DDEE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AES-192</w:t>
            </w:r>
          </w:p>
        </w:tc>
        <w:tc>
          <w:tcPr>
            <w:tcW w:type="dxa" w:w="25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AES-256</w:t>
            </w:r>
          </w:p>
        </w:tc>
      </w:tr>
      <w:tr>
        <w:trPr>
          <w:tblHeader w:val="false"/>
        </w:trP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Post-Quantum Security</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100 bits</w:t>
            </w:r>
          </w:p>
        </w:tc>
        <w:tc>
          <w:tcPr>
            <w:tcW w:type="dxa" w:w="2520"/>
            <w:tcBorders>
              <w:top w:val="single" w:color="AAAAAA" w:sz="1"/>
              <w:left w:val="single" w:color="AAAAAA" w:sz="1"/>
              <w:bottom w:val="single" w:color="AAAAAA" w:sz="1"/>
              <w:right w:val="single" w:color="AAAAAA" w:sz="1"/>
            </w:tcBorders>
            <w:shd w:fill="E8F3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161 bits</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218 bits</w:t>
            </w:r>
          </w:p>
        </w:tc>
      </w:tr>
      <w:tr>
        <w:trPr>
          <w:tblHeader w:val="false"/>
        </w:trPr>
        <w:tc>
          <w:tcPr>
            <w:tcW w:type="dxa" w:w="25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Public Key Size</w:t>
            </w:r>
          </w:p>
        </w:tc>
        <w:tc>
          <w:tcPr>
            <w:tcW w:type="dxa" w:w="25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800 bytes</w:t>
            </w:r>
          </w:p>
        </w:tc>
        <w:tc>
          <w:tcPr>
            <w:tcW w:type="dxa" w:w="2520"/>
            <w:tcBorders>
              <w:top w:val="single" w:color="AAAAAA" w:sz="1"/>
              <w:left w:val="single" w:color="AAAAAA" w:sz="1"/>
              <w:bottom w:val="single" w:color="AAAAAA" w:sz="1"/>
              <w:right w:val="single" w:color="AAAAAA" w:sz="1"/>
            </w:tcBorders>
            <w:shd w:fill="DDEE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1,184 bytes</w:t>
            </w:r>
          </w:p>
        </w:tc>
        <w:tc>
          <w:tcPr>
            <w:tcW w:type="dxa" w:w="25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1,568 bytes</w:t>
            </w:r>
          </w:p>
        </w:tc>
      </w:tr>
      <w:tr>
        <w:trPr>
          <w:tblHeader w:val="false"/>
        </w:trP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Ciphertext Size</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768 bytes</w:t>
            </w:r>
          </w:p>
        </w:tc>
        <w:tc>
          <w:tcPr>
            <w:tcW w:type="dxa" w:w="2520"/>
            <w:tcBorders>
              <w:top w:val="single" w:color="AAAAAA" w:sz="1"/>
              <w:left w:val="single" w:color="AAAAAA" w:sz="1"/>
              <w:bottom w:val="single" w:color="AAAAAA" w:sz="1"/>
              <w:right w:val="single" w:color="AAAAAA" w:sz="1"/>
            </w:tcBorders>
            <w:shd w:fill="E8F3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1,088 bytes</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1,568 bytes</w:t>
            </w:r>
          </w:p>
        </w:tc>
      </w:tr>
    </w:tbl>
    <w:p>
      <w:pPr>
        <w:spacing w:before="80" w:after="140"/>
        <w:jc w:val="both"/>
      </w:pPr>
      <w:r>
        <w:rPr>
          <w:rFonts w:ascii="Arial" w:cs="Arial" w:eastAsia="Arial" w:hAnsi="Arial"/>
          <w:sz w:val="22"/>
          <w:szCs w:val="22"/>
        </w:rPr>
        <w:t xml:space="preserve">Kyber-768 was chosen for this project as it offers the optimal balance between security strength (NIST Level 3, equivalent to AES-192 classically) and performance overhead — critical for embedded or bandwidth-constrained environments common in medical devices and military field systems.</w:t>
      </w:r>
    </w:p>
    <w:p>
      <w:pPr>
        <w:pStyle w:val="Heading1"/>
        <w:pBdr>
          <w:bottom w:val="single" w:color="2E75B6" w:sz="6" w:space="1"/>
        </w:pBdr>
        <w:spacing w:before="280" w:after="120"/>
      </w:pPr>
      <w:r>
        <w:rPr>
          <w:rFonts w:ascii="Arial" w:cs="Arial" w:eastAsia="Arial" w:hAnsi="Arial"/>
          <w:b/>
          <w:bCs/>
          <w:color w:val="1F3864"/>
          <w:sz w:val="28"/>
          <w:szCs w:val="28"/>
        </w:rPr>
        <w:t xml:space="preserve">3. System Design &amp; Implementation</w:t>
      </w:r>
    </w:p>
    <w:p>
      <w:pPr>
        <w:spacing w:before="80" w:after="80"/>
        <w:jc w:val="both"/>
      </w:pPr>
      <w:r>
        <w:rPr>
          <w:rFonts w:ascii="Arial" w:cs="Arial" w:eastAsia="Arial" w:hAnsi="Arial"/>
          <w:sz w:val="22"/>
          <w:szCs w:val="22"/>
        </w:rPr>
        <w:t xml:space="preserve">The Mini-VPN system implements a four-layer architecture:</w:t>
      </w:r>
    </w:p>
    <w:p>
      <w:pPr>
        <w:spacing w:before="100" w:after="60"/>
      </w:pPr>
      <w:r>
        <w:rPr>
          <w:rFonts w:ascii="Arial" w:cs="Arial" w:eastAsia="Arial" w:hAnsi="Arial"/>
          <w:b/>
          <w:bCs/>
          <w:color w:val="1F3864"/>
          <w:sz w:val="22"/>
          <w:szCs w:val="22"/>
        </w:rPr>
        <w:t xml:space="preserve">Table 2: System Architecture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538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5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rPr>
          <w:tblHeader w:val="false"/>
        </w:trPr>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w:t>
            </w:r>
          </w:p>
        </w:tc>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Packet Capture (Scapy)</w:t>
            </w:r>
          </w:p>
        </w:tc>
        <w:tc>
          <w:tcPr>
            <w:tcW w:type="dxa" w:w="538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Intercepts raw IP/TCP payloads before tunnel encapsulation</w:t>
            </w:r>
          </w:p>
        </w:tc>
      </w:tr>
      <w:tr>
        <w:trPr>
          <w:tblHeader w:val="false"/>
        </w:trPr>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Key Exchange (Kyber-768 + ECDH hybrid)</w:t>
            </w:r>
          </w:p>
        </w:tc>
        <w:tc>
          <w:tcPr>
            <w:tcW w:type="dxa" w:w="53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Performs post-quantum KEM with classical ECDH as fallback / defence-in-depth</w:t>
            </w:r>
          </w:p>
        </w:tc>
      </w:tr>
      <w:tr>
        <w:trPr>
          <w:tblHeader w:val="false"/>
        </w:trPr>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w:t>
            </w:r>
          </w:p>
        </w:tc>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Encryption (AES-256-GCM)</w:t>
            </w:r>
          </w:p>
        </w:tc>
        <w:tc>
          <w:tcPr>
            <w:tcW w:type="dxa" w:w="538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Authenticated encryption with 96-bit random nonces; counter in AAD for integrity</w:t>
            </w:r>
          </w:p>
        </w:tc>
      </w:tr>
      <w:tr>
        <w:trPr>
          <w:tblHeader w:val="false"/>
        </w:trPr>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Replay Protection (Sliding Window)</w:t>
            </w:r>
          </w:p>
        </w:tc>
        <w:tc>
          <w:tcPr>
            <w:tcW w:type="dxa" w:w="53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64-packet sliding-window counter rejects re-sent and out-of-order packets</w:t>
            </w:r>
          </w:p>
        </w:tc>
      </w:tr>
    </w:tbl>
    <w:p>
      <w:pPr>
        <w:spacing w:before="60" w:after="40"/>
        <w:jc w:val="both"/>
      </w:pPr>
      <w:r>
        <w:rPr>
          <w:rFonts w:ascii="Arial" w:cs="Arial" w:eastAsia="Arial" w:hAnsi="Arial"/>
          <w:sz w:val="22"/>
          <w:szCs w:val="22"/>
        </w:rPr>
        <w:t xml:space="preserve"/>
      </w:r>
    </w:p>
    <w:p>
      <w:pPr>
        <w:spacing w:before="60" w:after="100"/>
        <w:jc w:val="both"/>
      </w:pPr>
      <w:r>
        <w:rPr>
          <w:rFonts w:ascii="Arial" w:cs="Arial" w:eastAsia="Arial" w:hAnsi="Arial"/>
          <w:b/>
          <w:bCs/>
          <w:color w:val="000000"/>
          <w:sz w:val="22"/>
          <w:szCs w:val="22"/>
        </w:rPr>
        <w:t xml:space="preserve">Attack Demonstrations: </w:t>
      </w:r>
      <w:r>
        <w:rPr>
          <w:rFonts w:ascii="Arial" w:cs="Arial" w:eastAsia="Arial" w:hAnsi="Arial"/>
          <w:sz w:val="22"/>
          <w:szCs w:val="22"/>
        </w:rPr>
        <w:t xml:space="preserve">The system includes three live attack simulations — packet sniffing (Wireshark), GCM bit-flip tampering detection, and replay-attack rejection — providing empirical proof-of-protection for each threat vector.</w:t>
      </w:r>
    </w:p>
    <w:p>
      <w:pPr>
        <w:pStyle w:val="Heading1"/>
        <w:pBdr>
          <w:bottom w:val="single" w:color="2E75B6" w:sz="6" w:space="1"/>
        </w:pBdr>
        <w:spacing w:before="280" w:after="120"/>
      </w:pPr>
      <w:r>
        <w:rPr>
          <w:rFonts w:ascii="Arial" w:cs="Arial" w:eastAsia="Arial" w:hAnsi="Arial"/>
          <w:b/>
          <w:bCs/>
          <w:color w:val="1F3864"/>
          <w:sz w:val="28"/>
          <w:szCs w:val="28"/>
        </w:rPr>
        <w:t xml:space="preserve">4. Deployment Domains &amp; Use Cases</w:t>
      </w:r>
    </w:p>
    <w:p>
      <w:pPr>
        <w:spacing w:before="80" w:after="80"/>
        <w:jc w:val="both"/>
      </w:pPr>
      <w:r>
        <w:rPr>
          <w:rFonts w:ascii="Arial" w:cs="Arial" w:eastAsia="Arial" w:hAnsi="Arial"/>
          <w:sz w:val="22"/>
          <w:szCs w:val="22"/>
        </w:rPr>
        <w:t xml:space="preserve">The following safety-critical domains represent primary target environments where this technology provides measurable, immediate value:</w:t>
      </w:r>
    </w:p>
    <w:p>
      <w:pPr>
        <w:pStyle w:val="Heading2"/>
        <w:spacing w:before="200" w:after="80"/>
      </w:pPr>
      <w:r>
        <w:rPr>
          <w:rFonts w:ascii="Arial" w:cs="Arial" w:eastAsia="Arial" w:hAnsi="Arial"/>
          <w:b/>
          <w:bCs/>
          <w:color w:val="2E5090"/>
          <w:sz w:val="24"/>
          <w:szCs w:val="24"/>
        </w:rPr>
        <w:t xml:space="preserve">4.1  Healthcare &amp; Medical Devices</w:t>
      </w:r>
    </w:p>
    <w:p>
      <w:pPr>
        <w:pStyle w:val="ListParagraph"/>
        <w:numPr>
          <w:ilvl w:val="0"/>
          <w:numId w:val="2"/>
        </w:numPr>
        <w:spacing w:before="40" w:after="40"/>
      </w:pPr>
      <w:r>
        <w:rPr>
          <w:rFonts w:ascii="Arial" w:cs="Arial" w:eastAsia="Arial" w:hAnsi="Arial"/>
          <w:sz w:val="22"/>
          <w:szCs w:val="22"/>
        </w:rPr>
        <w:t xml:space="preserve">HIPAA/GDPR-compliant transmission of Electronic Health Records (EHR) over hospital VPNs.</w:t>
      </w:r>
    </w:p>
    <w:p>
      <w:pPr>
        <w:pStyle w:val="ListParagraph"/>
        <w:numPr>
          <w:ilvl w:val="0"/>
          <w:numId w:val="2"/>
        </w:numPr>
        <w:spacing w:before="40" w:after="40"/>
      </w:pPr>
      <w:r>
        <w:rPr>
          <w:rFonts w:ascii="Arial" w:cs="Arial" w:eastAsia="Arial" w:hAnsi="Arial"/>
          <w:sz w:val="22"/>
          <w:szCs w:val="22"/>
        </w:rPr>
        <w:t xml:space="preserve">Implantable and wearable medical device telemetry (pacemakers, insulin pumps, remote ICU monitors) where intercepted firmware updates or data represent life-safety risks.</w:t>
      </w:r>
    </w:p>
    <w:p>
      <w:pPr>
        <w:pStyle w:val="ListParagraph"/>
        <w:numPr>
          <w:ilvl w:val="0"/>
          <w:numId w:val="2"/>
        </w:numPr>
        <w:spacing w:before="40" w:after="40"/>
      </w:pPr>
      <w:r>
        <w:rPr>
          <w:rFonts w:ascii="Arial" w:cs="Arial" w:eastAsia="Arial" w:hAnsi="Arial"/>
          <w:sz w:val="22"/>
          <w:szCs w:val="22"/>
        </w:rPr>
        <w:t xml:space="preserve">Telehealth platforms and radiological image transfer (DICOM) requiring long-term data confidentiality exceeding 10–30 years.</w:t>
      </w:r>
    </w:p>
    <w:p>
      <w:pPr>
        <w:pStyle w:val="Heading2"/>
        <w:spacing w:before="200" w:after="80"/>
      </w:pPr>
      <w:r>
        <w:rPr>
          <w:rFonts w:ascii="Arial" w:cs="Arial" w:eastAsia="Arial" w:hAnsi="Arial"/>
          <w:b/>
          <w:bCs/>
          <w:color w:val="2E5090"/>
          <w:sz w:val="24"/>
          <w:szCs w:val="24"/>
        </w:rPr>
        <w:t xml:space="preserve">4.2  Defence &amp; Military</w:t>
      </w:r>
    </w:p>
    <w:p>
      <w:pPr>
        <w:pStyle w:val="ListParagraph"/>
        <w:numPr>
          <w:ilvl w:val="0"/>
          <w:numId w:val="2"/>
        </w:numPr>
        <w:spacing w:before="40" w:after="40"/>
      </w:pPr>
      <w:r>
        <w:rPr>
          <w:rFonts w:ascii="Arial" w:cs="Arial" w:eastAsia="Arial" w:hAnsi="Arial"/>
          <w:sz w:val="22"/>
          <w:szCs w:val="22"/>
        </w:rPr>
        <w:t xml:space="preserve">Field-unit tactical communications where ECDH handshakes are currently harvested by adversaries for future quantum decryption.</w:t>
      </w:r>
    </w:p>
    <w:p>
      <w:pPr>
        <w:pStyle w:val="ListParagraph"/>
        <w:numPr>
          <w:ilvl w:val="0"/>
          <w:numId w:val="2"/>
        </w:numPr>
        <w:spacing w:before="40" w:after="40"/>
      </w:pPr>
      <w:r>
        <w:rPr>
          <w:rFonts w:ascii="Arial" w:cs="Arial" w:eastAsia="Arial" w:hAnsi="Arial"/>
          <w:sz w:val="22"/>
          <w:szCs w:val="22"/>
        </w:rPr>
        <w:t xml:space="preserve">Classified drone telemetry and satellite uplink encryption requiring NIST FIPS 203 compliance (mandated by NSA CNSA 2.0 suite by 2030).</w:t>
      </w:r>
    </w:p>
    <w:p>
      <w:pPr>
        <w:pStyle w:val="ListParagraph"/>
        <w:numPr>
          <w:ilvl w:val="0"/>
          <w:numId w:val="2"/>
        </w:numPr>
        <w:spacing w:before="40" w:after="40"/>
      </w:pPr>
      <w:r>
        <w:rPr>
          <w:rFonts w:ascii="Arial" w:cs="Arial" w:eastAsia="Arial" w:hAnsi="Arial"/>
          <w:sz w:val="22"/>
          <w:szCs w:val="22"/>
        </w:rPr>
        <w:t xml:space="preserve">Logistics and supply-chain integrity where tampered orders must be cryptographically detected — directly addressed by AES-GCM authentication.</w:t>
      </w:r>
    </w:p>
    <w:p>
      <w:pPr>
        <w:pStyle w:val="Heading2"/>
        <w:spacing w:before="200" w:after="80"/>
      </w:pPr>
      <w:r>
        <w:rPr>
          <w:rFonts w:ascii="Arial" w:cs="Arial" w:eastAsia="Arial" w:hAnsi="Arial"/>
          <w:b/>
          <w:bCs/>
          <w:color w:val="2E5090"/>
          <w:sz w:val="24"/>
          <w:szCs w:val="24"/>
        </w:rPr>
        <w:t xml:space="preserve">4.3  Government &amp; Critical Infrastructure</w:t>
      </w:r>
    </w:p>
    <w:p>
      <w:pPr>
        <w:pStyle w:val="ListParagraph"/>
        <w:numPr>
          <w:ilvl w:val="0"/>
          <w:numId w:val="2"/>
        </w:numPr>
        <w:spacing w:before="40" w:after="40"/>
      </w:pPr>
      <w:r>
        <w:rPr>
          <w:rFonts w:ascii="Arial" w:cs="Arial" w:eastAsia="Arial" w:hAnsi="Arial"/>
          <w:sz w:val="22"/>
          <w:szCs w:val="22"/>
        </w:rPr>
        <w:t xml:space="preserve">Inter-agency secure communications, diplomatic cables, and classified document transfer.</w:t>
      </w:r>
    </w:p>
    <w:p>
      <w:pPr>
        <w:pStyle w:val="ListParagraph"/>
        <w:numPr>
          <w:ilvl w:val="0"/>
          <w:numId w:val="2"/>
        </w:numPr>
        <w:spacing w:before="40" w:after="40"/>
      </w:pPr>
      <w:r>
        <w:rPr>
          <w:rFonts w:ascii="Arial" w:cs="Arial" w:eastAsia="Arial" w:hAnsi="Arial"/>
          <w:sz w:val="22"/>
          <w:szCs w:val="22"/>
        </w:rPr>
        <w:t xml:space="preserve">Smart grid and SCADA system communications where cyber-physical attacks (e.g., replay of control commands) are existential infrastructure threats.</w:t>
      </w:r>
    </w:p>
    <w:p>
      <w:pPr>
        <w:pStyle w:val="ListParagraph"/>
        <w:numPr>
          <w:ilvl w:val="0"/>
          <w:numId w:val="2"/>
        </w:numPr>
        <w:spacing w:before="40" w:after="40"/>
      </w:pPr>
      <w:r>
        <w:rPr>
          <w:rFonts w:ascii="Arial" w:cs="Arial" w:eastAsia="Arial" w:hAnsi="Arial"/>
          <w:sz w:val="22"/>
          <w:szCs w:val="22"/>
        </w:rPr>
        <w:t xml:space="preserve">National identity systems, biometric databases, and border-control networks requiring multi-decade confidentiality.</w:t>
      </w:r>
    </w:p>
    <w:p>
      <w:pPr>
        <w:pStyle w:val="Heading2"/>
        <w:spacing w:before="200" w:after="80"/>
      </w:pPr>
      <w:r>
        <w:rPr>
          <w:rFonts w:ascii="Arial" w:cs="Arial" w:eastAsia="Arial" w:hAnsi="Arial"/>
          <w:b/>
          <w:bCs/>
          <w:color w:val="2E5090"/>
          <w:sz w:val="24"/>
          <w:szCs w:val="24"/>
        </w:rPr>
        <w:t xml:space="preserve">4.4  Financial &amp; Legal Sectors</w:t>
      </w:r>
    </w:p>
    <w:p>
      <w:pPr>
        <w:pStyle w:val="ListParagraph"/>
        <w:numPr>
          <w:ilvl w:val="0"/>
          <w:numId w:val="2"/>
        </w:numPr>
        <w:spacing w:before="40" w:after="40"/>
      </w:pPr>
      <w:r>
        <w:rPr>
          <w:rFonts w:ascii="Arial" w:cs="Arial" w:eastAsia="Arial" w:hAnsi="Arial"/>
          <w:sz w:val="22"/>
          <w:szCs w:val="22"/>
        </w:rPr>
        <w:t xml:space="preserve">Inter-bank settlement networks (SWIFT, RTGS) where transaction confidentiality and replay-prevention are regulatory requirements.</w:t>
      </w:r>
    </w:p>
    <w:p>
      <w:pPr>
        <w:pStyle w:val="ListParagraph"/>
        <w:numPr>
          <w:ilvl w:val="0"/>
          <w:numId w:val="2"/>
        </w:numPr>
        <w:spacing w:before="40" w:after="40"/>
      </w:pPr>
      <w:r>
        <w:rPr>
          <w:rFonts w:ascii="Arial" w:cs="Arial" w:eastAsia="Arial" w:hAnsi="Arial"/>
          <w:sz w:val="22"/>
          <w:szCs w:val="22"/>
        </w:rPr>
        <w:t xml:space="preserve">Long-term legal and notarial archives requiring cryptographic integrity guarantees beyond the quantum era.</w:t>
      </w:r>
    </w:p>
    <w:p>
      <w:pPr>
        <w:pStyle w:val="Heading1"/>
        <w:pBdr>
          <w:bottom w:val="single" w:color="2E75B6" w:sz="6" w:space="1"/>
        </w:pBdr>
        <w:spacing w:before="280" w:after="120"/>
      </w:pPr>
      <w:r>
        <w:rPr>
          <w:rFonts w:ascii="Arial" w:cs="Arial" w:eastAsia="Arial" w:hAnsi="Arial"/>
          <w:b/>
          <w:bCs/>
          <w:color w:val="1F3864"/>
          <w:sz w:val="28"/>
          <w:szCs w:val="28"/>
        </w:rPr>
        <w:t xml:space="preserve">5. Prior Art Analysis &amp; Novelty Assessment</w:t>
      </w:r>
    </w:p>
    <w:p>
      <w:pPr>
        <w:spacing w:before="80" w:after="80"/>
        <w:jc w:val="both"/>
      </w:pPr>
      <w:r>
        <w:rPr>
          <w:rFonts w:ascii="Arial" w:cs="Arial" w:eastAsia="Arial" w:hAnsi="Arial"/>
          <w:b/>
          <w:bCs/>
          <w:color w:val="C00000"/>
          <w:sz w:val="22"/>
          <w:szCs w:val="22"/>
        </w:rPr>
        <w:t xml:space="preserve">Important Disclosure: </w:t>
      </w:r>
      <w:r>
        <w:rPr>
          <w:rFonts w:ascii="Arial" w:cs="Arial" w:eastAsia="Arial" w:hAnsi="Arial"/>
          <w:sz w:val="22"/>
          <w:szCs w:val="22"/>
        </w:rPr>
        <w:t xml:space="preserve">An honest prior-art assessment is essential before any patent filing. The following section transparently identifies what is pre-existing and what may constitute novel contribution.</w:t>
      </w:r>
    </w:p>
    <w:p>
      <w:pPr>
        <w:pStyle w:val="Heading2"/>
        <w:spacing w:before="200" w:after="80"/>
      </w:pPr>
      <w:r>
        <w:rPr>
          <w:rFonts w:ascii="Arial" w:cs="Arial" w:eastAsia="Arial" w:hAnsi="Arial"/>
          <w:b/>
          <w:bCs/>
          <w:color w:val="2E5090"/>
          <w:sz w:val="24"/>
          <w:szCs w:val="24"/>
        </w:rPr>
        <w:t xml:space="preserve">5.1  What Already Exists (Not Novel Alone)</w:t>
      </w:r>
    </w:p>
    <w:p>
      <w:pPr>
        <w:pStyle w:val="ListParagraph"/>
        <w:numPr>
          <w:ilvl w:val="0"/>
          <w:numId w:val="2"/>
        </w:numPr>
        <w:spacing w:before="40" w:after="40"/>
      </w:pPr>
      <w:r>
        <w:rPr>
          <w:rFonts w:ascii="Arial" w:cs="Arial" w:eastAsia="Arial" w:hAnsi="Arial"/>
          <w:sz w:val="22"/>
          <w:szCs w:val="22"/>
        </w:rPr>
        <w:t xml:space="preserve">CRYSTALS-Kyber / ML-KEM algorithm: Designed by Bos et al. (2017), standardised as NIST FIPS 203 (2024). Not patentable.</w:t>
      </w:r>
    </w:p>
    <w:p>
      <w:pPr>
        <w:pStyle w:val="ListParagraph"/>
        <w:numPr>
          <w:ilvl w:val="0"/>
          <w:numId w:val="2"/>
        </w:numPr>
        <w:spacing w:before="40" w:after="40"/>
      </w:pPr>
      <w:r>
        <w:rPr>
          <w:rFonts w:ascii="Arial" w:cs="Arial" w:eastAsia="Arial" w:hAnsi="Arial"/>
          <w:sz w:val="22"/>
          <w:szCs w:val="22"/>
        </w:rPr>
        <w:t xml:space="preserve">AES-256-GCM: NIST FIPS 197 / SP 800-38D. Decades-old standard. Not patentable.</w:t>
      </w:r>
    </w:p>
    <w:p>
      <w:pPr>
        <w:pStyle w:val="ListParagraph"/>
        <w:numPr>
          <w:ilvl w:val="0"/>
          <w:numId w:val="2"/>
        </w:numPr>
        <w:spacing w:before="40" w:after="40"/>
      </w:pPr>
      <w:r>
        <w:rPr>
          <w:rFonts w:ascii="Arial" w:cs="Arial" w:eastAsia="Arial" w:hAnsi="Arial"/>
          <w:sz w:val="22"/>
          <w:szCs w:val="22"/>
        </w:rPr>
        <w:t xml:space="preserve">Post-quantum VPN concepts: Academic papers by Stebila et al. (2016), Poppelmann &amp; Güneysu (2015), and Cloudflare's CIRCL library (2019) demonstrate PQC in TLS/VPN contexts.</w:t>
      </w:r>
    </w:p>
    <w:p>
      <w:pPr>
        <w:pStyle w:val="ListParagraph"/>
        <w:numPr>
          <w:ilvl w:val="0"/>
          <w:numId w:val="2"/>
        </w:numPr>
        <w:spacing w:before="40" w:after="40"/>
      </w:pPr>
      <w:r>
        <w:rPr>
          <w:rFonts w:ascii="Arial" w:cs="Arial" w:eastAsia="Arial" w:hAnsi="Arial"/>
          <w:sz w:val="22"/>
          <w:szCs w:val="22"/>
        </w:rPr>
        <w:t xml:space="preserve">Hybrid KEM (PQC + classical): Proposed in IETF RFC 8784 and OpenSSH 9.0 (released 2022) already implements hybrid Kyber+ECDH for SSH key exchange.</w:t>
      </w:r>
    </w:p>
    <w:p>
      <w:pPr>
        <w:pStyle w:val="ListParagraph"/>
        <w:numPr>
          <w:ilvl w:val="0"/>
          <w:numId w:val="2"/>
        </w:numPr>
        <w:spacing w:before="40" w:after="40"/>
      </w:pPr>
      <w:r>
        <w:rPr>
          <w:rFonts w:ascii="Arial" w:cs="Arial" w:eastAsia="Arial" w:hAnsi="Arial"/>
          <w:sz w:val="22"/>
          <w:szCs w:val="22"/>
        </w:rPr>
        <w:t xml:space="preserve">Sliding-window replay protection: Standard IPsec mechanism per RFC 2401 (1998) and RFC 4301 (2005).</w:t>
      </w:r>
    </w:p>
    <w:p>
      <w:pPr>
        <w:pStyle w:val="Heading2"/>
        <w:spacing w:before="200" w:after="80"/>
      </w:pPr>
      <w:r>
        <w:rPr>
          <w:rFonts w:ascii="Arial" w:cs="Arial" w:eastAsia="Arial" w:hAnsi="Arial"/>
          <w:b/>
          <w:bCs/>
          <w:color w:val="2E5090"/>
          <w:sz w:val="24"/>
          <w:szCs w:val="24"/>
        </w:rPr>
        <w:t xml:space="preserve">5.2  Potential Novel Contributions</w:t>
      </w:r>
    </w:p>
    <w:p>
      <w:pPr>
        <w:spacing w:before="80" w:after="80"/>
        <w:jc w:val="both"/>
      </w:pPr>
      <w:r>
        <w:rPr>
          <w:rFonts w:ascii="Arial" w:cs="Arial" w:eastAsia="Arial" w:hAnsi="Arial"/>
          <w:sz w:val="22"/>
          <w:szCs w:val="22"/>
        </w:rPr>
        <w:t xml:space="preserve">The following aspects of your specific implementation may constitute novel contribution, pending a formal patent search:</w:t>
      </w:r>
    </w:p>
    <w:p>
      <w:pPr>
        <w:pStyle w:val="ListParagraph"/>
        <w:numPr>
          <w:ilvl w:val="0"/>
          <w:numId w:val="2"/>
        </w:numPr>
        <w:spacing w:before="40" w:after="40"/>
      </w:pPr>
      <w:r>
        <w:rPr>
          <w:rFonts w:ascii="Arial" w:cs="Arial" w:eastAsia="Arial" w:hAnsi="Arial"/>
          <w:sz w:val="22"/>
          <w:szCs w:val="22"/>
        </w:rPr>
        <w:t xml:space="preserve">Hybrid Kyber-768 + ECDH with integrated Scapy-level packet capture and counter-in-AAD replay protection in a single unified Python framework — the specific combination and API design may be novel as a lightweight reference implementation.</w:t>
      </w:r>
    </w:p>
    <w:p>
      <w:pPr>
        <w:pStyle w:val="ListParagraph"/>
        <w:numPr>
          <w:ilvl w:val="0"/>
          <w:numId w:val="2"/>
        </w:numPr>
        <w:spacing w:before="40" w:after="40"/>
      </w:pPr>
      <w:r>
        <w:rPr>
          <w:rFonts w:ascii="Arial" w:cs="Arial" w:eastAsia="Arial" w:hAnsi="Arial"/>
          <w:sz w:val="22"/>
          <w:szCs w:val="22"/>
        </w:rPr>
        <w:t xml:space="preserve">Coupled attack-demonstration framework: Embedding sniffing, GCM tampering, and replay attack simulators within the same codebase as the protection system creates a novel educational and penetration-testing utility not found in prior VPN implementations.</w:t>
      </w:r>
    </w:p>
    <w:p>
      <w:pPr>
        <w:pStyle w:val="ListParagraph"/>
        <w:numPr>
          <w:ilvl w:val="0"/>
          <w:numId w:val="2"/>
        </w:numPr>
        <w:spacing w:before="40" w:after="40"/>
      </w:pPr>
      <w:r>
        <w:rPr>
          <w:rFonts w:ascii="Arial" w:cs="Arial" w:eastAsia="Arial" w:hAnsi="Arial"/>
          <w:sz w:val="22"/>
          <w:szCs w:val="22"/>
        </w:rPr>
        <w:t xml:space="preserve">Safety-critical embedded adaptation: If extended to run on constrained hardware (Raspberry Pi, ARM Cortex-M), the specific optimisation of Kyber-768 for medical-device-class power/memory budgets could constitute novel applied research.</w:t>
      </w:r>
    </w:p>
    <w:p>
      <w:pPr>
        <w:pStyle w:val="ListParagraph"/>
        <w:numPr>
          <w:ilvl w:val="0"/>
          <w:numId w:val="2"/>
        </w:numPr>
        <w:spacing w:before="40" w:after="40"/>
      </w:pPr>
      <w:r>
        <w:rPr>
          <w:rFonts w:ascii="Arial" w:cs="Arial" w:eastAsia="Arial" w:hAnsi="Arial"/>
          <w:sz w:val="22"/>
          <w:szCs w:val="22"/>
        </w:rPr>
        <w:t xml:space="preserve">Domain-specific protocol adaptation: Customising the tunnel protocol for DICOM (medical imaging) or DNP3 (SCADA) packet formats would represent a specific, novel application with clear commercial utility — the strongest basis for a patent claim.</w:t>
      </w:r>
    </w:p>
    <w:p>
      <w:pPr>
        <w:pStyle w:val="Heading2"/>
        <w:spacing w:before="200" w:after="80"/>
      </w:pPr>
      <w:r>
        <w:rPr>
          <w:rFonts w:ascii="Arial" w:cs="Arial" w:eastAsia="Arial" w:hAnsi="Arial"/>
          <w:b/>
          <w:bCs/>
          <w:color w:val="2E5090"/>
          <w:sz w:val="24"/>
          <w:szCs w:val="24"/>
        </w:rPr>
        <w:t xml:space="preserve">5.3  Patent Feasibility Summary</w:t>
      </w:r>
    </w:p>
    <w:p>
      <w:pPr>
        <w:spacing w:before="100" w:after="60"/>
      </w:pPr>
      <w:r>
        <w:rPr>
          <w:rFonts w:ascii="Arial" w:cs="Arial" w:eastAsia="Arial" w:hAnsi="Arial"/>
          <w:b/>
          <w:bCs/>
          <w:color w:val="1F3864"/>
          <w:sz w:val="22"/>
          <w:szCs w:val="22"/>
        </w:rPr>
        <w:t xml:space="preserve">Table 3: Patentability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080"/>
        <w:gridCol w:w="4500"/>
      </w:tblGrid>
      <w:tr>
        <w:trPr>
          <w:tblHeader/>
        </w:trP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Claim Component</w:t>
            </w:r>
          </w:p>
        </w:tc>
        <w:tc>
          <w:tcPr>
            <w:tcW w:type="dxa" w:w="20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Patentable?</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Reason</w:t>
            </w:r>
          </w:p>
        </w:tc>
      </w:tr>
      <w:tr>
        <w:trPr>
          <w:tblHeader w:val="false"/>
        </w:trPr>
        <w:tc>
          <w:tcPr>
            <w:tcW w:type="dxa" w:w="35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Kyber-768 algorithm itself</w:t>
            </w:r>
          </w:p>
        </w:tc>
        <w:tc>
          <w:tcPr>
            <w:tcW w:type="dxa" w:w="208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w:t>
            </w:r>
          </w:p>
        </w:tc>
        <w:tc>
          <w:tcPr>
            <w:tcW w:type="dxa" w:w="45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NIST public standard (FIPS 203)</w:t>
            </w:r>
          </w:p>
        </w:tc>
      </w:tr>
      <w:tr>
        <w:trPr>
          <w:tblHeader w:val="false"/>
        </w:trP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AES-256-GCM encryption</w:t>
            </w:r>
          </w:p>
        </w:tc>
        <w:tc>
          <w:tcPr>
            <w:tcW w:type="dxa" w:w="20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w:t>
            </w:r>
          </w:p>
        </w:tc>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Existing NIST standard</w:t>
            </w:r>
          </w:p>
        </w:tc>
      </w:tr>
      <w:tr>
        <w:trPr>
          <w:tblHeader w:val="false"/>
        </w:trPr>
        <w:tc>
          <w:tcPr>
            <w:tcW w:type="dxa" w:w="3500"/>
            <w:tcBorders>
              <w:top w:val="single" w:color="AAAAAA" w:sz="1"/>
              <w:left w:val="single" w:color="AAAAAA" w:sz="1"/>
              <w:bottom w:val="single" w:color="AAAAAA" w:sz="1"/>
              <w:right w:val="single" w:color="AAAAAA" w:sz="1"/>
            </w:tcBorders>
            <w:shd w:fill="FFF8E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Hybrid Kyber+ECDH VPN tunnel</w:t>
            </w:r>
          </w:p>
        </w:tc>
        <w:tc>
          <w:tcPr>
            <w:tcW w:type="dxa" w:w="2080"/>
            <w:tcBorders>
              <w:top w:val="single" w:color="AAAAAA" w:sz="1"/>
              <w:left w:val="single" w:color="AAAAAA" w:sz="1"/>
              <w:bottom w:val="single" w:color="AAAAAA" w:sz="1"/>
              <w:right w:val="single" w:color="AAAAAA" w:sz="1"/>
            </w:tcBorders>
            <w:shd w:fill="FFF8E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Marginal</w:t>
            </w:r>
          </w:p>
        </w:tc>
        <w:tc>
          <w:tcPr>
            <w:tcW w:type="dxa" w:w="4500"/>
            <w:tcBorders>
              <w:top w:val="single" w:color="AAAAAA" w:sz="1"/>
              <w:left w:val="single" w:color="AAAAAA" w:sz="1"/>
              <w:bottom w:val="single" w:color="AAAAAA" w:sz="1"/>
              <w:right w:val="single" w:color="AAAAAA" w:sz="1"/>
            </w:tcBorders>
            <w:shd w:fill="FFF8E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OpenSSH 9.0 prior art; needs strong differentiation</w:t>
            </w:r>
          </w:p>
        </w:tc>
      </w:tr>
      <w:tr>
        <w:trPr>
          <w:tblHeader w:val="false"/>
        </w:trP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Integrated attack-demo + protection codebase</w:t>
            </w:r>
          </w:p>
        </w:tc>
        <w:tc>
          <w:tcPr>
            <w:tcW w:type="dxa" w:w="208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Possibly</w:t>
            </w:r>
          </w:p>
        </w:tc>
        <w:tc>
          <w:tcPr>
            <w:tcW w:type="dxa" w:w="4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Novel utility if no equivalent tool exists — conduct formal prior-art search</w:t>
            </w:r>
          </w:p>
        </w:tc>
      </w:tr>
      <w:tr>
        <w:trPr>
          <w:tblHeader w:val="false"/>
        </w:trPr>
        <w:tc>
          <w:tcPr>
            <w:tcW w:type="dxa" w:w="3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Domain-specific adaptation (e.g., DICOM, DNP3)</w:t>
            </w:r>
          </w:p>
        </w:tc>
        <w:tc>
          <w:tcPr>
            <w:tcW w:type="dxa" w:w="20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Yes (with development)</w:t>
            </w:r>
          </w:p>
        </w:tc>
        <w:tc>
          <w:tcPr>
            <w:tcW w:type="dxa" w:w="4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Novel application + clear industrial utility = strongest patent basis</w:t>
            </w:r>
          </w:p>
        </w:tc>
      </w:tr>
      <w:tr>
        <w:trPr>
          <w:tblHeader w:val="false"/>
        </w:trP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Constrained-hardware Kyber-768 optimisation</w:t>
            </w:r>
          </w:p>
        </w:tc>
        <w:tc>
          <w:tcPr>
            <w:tcW w:type="dxa" w:w="20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Likely (with development)</w:t>
            </w:r>
          </w:p>
        </w:tc>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Novel if measurably superior to existing embedded PQC implementations</w:t>
            </w:r>
          </w:p>
        </w:tc>
      </w:tr>
    </w:tbl>
    <w:p>
      <w:pPr>
        <w:spacing w:before="40" w:after="40"/>
        <w:jc w:val="both"/>
      </w:pPr>
      <w:r>
        <w:rPr>
          <w:rFonts w:ascii="Arial" w:cs="Arial" w:eastAsia="Arial" w:hAnsi="Arial"/>
          <w:sz w:val="22"/>
          <w:szCs w:val="22"/>
        </w:rPr>
        <w:t xml:space="preserve"/>
      </w:r>
    </w:p>
    <w:p>
      <w:pPr>
        <w:pStyle w:val="Heading1"/>
        <w:pBdr>
          <w:bottom w:val="single" w:color="2E75B6" w:sz="6" w:space="1"/>
        </w:pBdr>
        <w:spacing w:before="280" w:after="120"/>
      </w:pPr>
      <w:r>
        <w:rPr>
          <w:rFonts w:ascii="Arial" w:cs="Arial" w:eastAsia="Arial" w:hAnsi="Arial"/>
          <w:b/>
          <w:bCs/>
          <w:color w:val="1F3864"/>
          <w:sz w:val="28"/>
          <w:szCs w:val="28"/>
        </w:rPr>
        <w:t xml:space="preserve">6. Recommended Research &amp; Publication Pathway</w:t>
      </w:r>
    </w:p>
    <w:p>
      <w:pPr>
        <w:spacing w:before="80" w:after="80"/>
        <w:jc w:val="both"/>
      </w:pPr>
      <w:r>
        <w:rPr>
          <w:rFonts w:ascii="Arial" w:cs="Arial" w:eastAsia="Arial" w:hAnsi="Arial"/>
          <w:sz w:val="22"/>
          <w:szCs w:val="22"/>
        </w:rPr>
        <w:t xml:space="preserve">To maximise the impact and patentability of this work, the following staged roadmap is recommended:</w:t>
      </w:r>
    </w:p>
    <w:p>
      <w:pPr>
        <w:spacing w:before="100" w:after="80"/>
      </w:pPr>
      <w:r>
        <w:rPr>
          <w:rFonts w:ascii="Arial" w:cs="Arial" w:eastAsia="Arial" w:hAnsi="Arial"/>
          <w:b/>
          <w:bCs/>
          <w:color w:val="000000"/>
          <w:sz w:val="22"/>
          <w:szCs w:val="22"/>
        </w:rPr>
        <w:t xml:space="preserve">Phase 1 — Immediate (0–3 months): Academic Publication</w:t>
      </w:r>
    </w:p>
    <w:p>
      <w:pPr>
        <w:pStyle w:val="ListParagraph"/>
        <w:numPr>
          <w:ilvl w:val="0"/>
          <w:numId w:val="2"/>
        </w:numPr>
        <w:spacing w:before="40" w:after="40"/>
      </w:pPr>
      <w:r>
        <w:rPr>
          <w:rFonts w:ascii="Arial" w:cs="Arial" w:eastAsia="Arial" w:hAnsi="Arial"/>
          <w:sz w:val="22"/>
          <w:szCs w:val="22"/>
        </w:rPr>
        <w:t xml:space="preserve">Submit the current implementation as a conference paper to IEEE SecureComm, ACM CCS Workshop, or NDSS PQCrypto track.</w:t>
      </w:r>
    </w:p>
    <w:p>
      <w:pPr>
        <w:pStyle w:val="ListParagraph"/>
        <w:numPr>
          <w:ilvl w:val="0"/>
          <w:numId w:val="2"/>
        </w:numPr>
        <w:spacing w:before="40" w:after="40"/>
      </w:pPr>
      <w:r>
        <w:rPr>
          <w:rFonts w:ascii="Arial" w:cs="Arial" w:eastAsia="Arial" w:hAnsi="Arial"/>
          <w:sz w:val="22"/>
          <w:szCs w:val="22"/>
        </w:rPr>
        <w:t xml:space="preserve">Frame the contribution as: (a) a reference implementation of FIPS 203 in a VPN context, and (b) a coupled attack-demonstration framework with empirical security validation.</w:t>
      </w:r>
    </w:p>
    <w:p>
      <w:pPr>
        <w:pStyle w:val="ListParagraph"/>
        <w:numPr>
          <w:ilvl w:val="0"/>
          <w:numId w:val="2"/>
        </w:numPr>
        <w:spacing w:before="40" w:after="40"/>
      </w:pPr>
      <w:r>
        <w:rPr>
          <w:rFonts w:ascii="Arial" w:cs="Arial" w:eastAsia="Arial" w:hAnsi="Arial"/>
          <w:sz w:val="22"/>
          <w:szCs w:val="22"/>
        </w:rPr>
        <w:t xml:space="preserve">Benchmark Kyber-768 handshake latency vs ECDH across network conditions to provide measurable performance data.</w:t>
      </w:r>
    </w:p>
    <w:p>
      <w:pPr>
        <w:spacing w:before="100" w:after="80"/>
      </w:pPr>
      <w:r>
        <w:rPr>
          <w:rFonts w:ascii="Arial" w:cs="Arial" w:eastAsia="Arial" w:hAnsi="Arial"/>
          <w:b/>
          <w:bCs/>
          <w:color w:val="000000"/>
          <w:sz w:val="22"/>
          <w:szCs w:val="22"/>
        </w:rPr>
        <w:t xml:space="preserve">Phase 2 — Short-term (3–9 months): Case Study with Real Devices</w:t>
      </w:r>
    </w:p>
    <w:p>
      <w:pPr>
        <w:pStyle w:val="ListParagraph"/>
        <w:numPr>
          <w:ilvl w:val="0"/>
          <w:numId w:val="2"/>
        </w:numPr>
        <w:spacing w:before="40" w:after="40"/>
      </w:pPr>
      <w:r>
        <w:rPr>
          <w:rFonts w:ascii="Arial" w:cs="Arial" w:eastAsia="Arial" w:hAnsi="Arial"/>
          <w:sz w:val="22"/>
          <w:szCs w:val="22"/>
        </w:rPr>
        <w:t xml:space="preserve">Deploy on Raspberry Pi 4 or NVIDIA Jetson Nano to validate embedded performance — generate real-device latency, CPU, and memory data.</w:t>
      </w:r>
    </w:p>
    <w:p>
      <w:pPr>
        <w:pStyle w:val="ListParagraph"/>
        <w:numPr>
          <w:ilvl w:val="0"/>
          <w:numId w:val="2"/>
        </w:numPr>
        <w:spacing w:before="40" w:after="40"/>
      </w:pPr>
      <w:r>
        <w:rPr>
          <w:rFonts w:ascii="Arial" w:cs="Arial" w:eastAsia="Arial" w:hAnsi="Arial"/>
          <w:sz w:val="22"/>
          <w:szCs w:val="22"/>
        </w:rPr>
        <w:t xml:space="preserve">Interface with DICOM or HL7 FHIR healthcare protocol stacks to demonstrate medical applicability with real packet formats.</w:t>
      </w:r>
    </w:p>
    <w:p>
      <w:pPr>
        <w:pStyle w:val="ListParagraph"/>
        <w:numPr>
          <w:ilvl w:val="0"/>
          <w:numId w:val="2"/>
        </w:numPr>
        <w:spacing w:before="40" w:after="40"/>
      </w:pPr>
      <w:r>
        <w:rPr>
          <w:rFonts w:ascii="Arial" w:cs="Arial" w:eastAsia="Arial" w:hAnsi="Arial"/>
          <w:sz w:val="22"/>
          <w:szCs w:val="22"/>
        </w:rPr>
        <w:t xml:space="preserve">Collaborate with a university cybersecurity lab or hospital IT department for an IRB-approved pilot study — this creates publishable field data.</w:t>
      </w:r>
    </w:p>
    <w:p>
      <w:pPr>
        <w:spacing w:before="100" w:after="80"/>
      </w:pPr>
      <w:r>
        <w:rPr>
          <w:rFonts w:ascii="Arial" w:cs="Arial" w:eastAsia="Arial" w:hAnsi="Arial"/>
          <w:b/>
          <w:bCs/>
          <w:color w:val="000000"/>
          <w:sz w:val="22"/>
          <w:szCs w:val="22"/>
        </w:rPr>
        <w:t xml:space="preserve">Phase 3 — Medium-term (9–18 months): Patent Filing</w:t>
      </w:r>
    </w:p>
    <w:p>
      <w:pPr>
        <w:pStyle w:val="ListParagraph"/>
        <w:numPr>
          <w:ilvl w:val="0"/>
          <w:numId w:val="2"/>
        </w:numPr>
        <w:spacing w:before="40" w:after="40"/>
      </w:pPr>
      <w:r>
        <w:rPr>
          <w:rFonts w:ascii="Arial" w:cs="Arial" w:eastAsia="Arial" w:hAnsi="Arial"/>
          <w:sz w:val="22"/>
          <w:szCs w:val="22"/>
        </w:rPr>
        <w:t xml:space="preserve">File a provisional patent application (Indian Patent Office under the Patents Act 1970) covering the domain-specific Kyber-768 VPN protocol adaptation.</w:t>
      </w:r>
    </w:p>
    <w:p>
      <w:pPr>
        <w:pStyle w:val="ListParagraph"/>
        <w:numPr>
          <w:ilvl w:val="0"/>
          <w:numId w:val="2"/>
        </w:numPr>
        <w:spacing w:before="40" w:after="40"/>
      </w:pPr>
      <w:r>
        <w:rPr>
          <w:rFonts w:ascii="Arial" w:cs="Arial" w:eastAsia="Arial" w:hAnsi="Arial"/>
          <w:sz w:val="22"/>
          <w:szCs w:val="22"/>
        </w:rPr>
        <w:t xml:space="preserve">Engage a registered patent agent to conduct a formal prior-art search (USPTO, EPO, Indian Patent Office) before full filing.</w:t>
      </w:r>
    </w:p>
    <w:p>
      <w:pPr>
        <w:pStyle w:val="ListParagraph"/>
        <w:numPr>
          <w:ilvl w:val="0"/>
          <w:numId w:val="2"/>
        </w:numPr>
        <w:spacing w:before="40" w:after="40"/>
      </w:pPr>
      <w:r>
        <w:rPr>
          <w:rFonts w:ascii="Arial" w:cs="Arial" w:eastAsia="Arial" w:hAnsi="Arial"/>
          <w:sz w:val="22"/>
          <w:szCs w:val="22"/>
        </w:rPr>
        <w:t xml:space="preserve">Target Sections 2(1)(j) and 10(4) of the Indian Patents Act — the key claim must be a novel process or system, not the algorithm itself.</w:t>
      </w:r>
    </w:p>
    <w:p>
      <w:pPr>
        <w:pStyle w:val="Heading1"/>
        <w:pBdr>
          <w:bottom w:val="single" w:color="2E75B6" w:sz="6" w:space="1"/>
        </w:pBdr>
        <w:spacing w:before="280" w:after="120"/>
      </w:pPr>
      <w:r>
        <w:rPr>
          <w:rFonts w:ascii="Arial" w:cs="Arial" w:eastAsia="Arial" w:hAnsi="Arial"/>
          <w:b/>
          <w:bCs/>
          <w:color w:val="1F3864"/>
          <w:sz w:val="28"/>
          <w:szCs w:val="28"/>
        </w:rPr>
        <w:t xml:space="preserve">7. Conclusion</w:t>
      </w:r>
    </w:p>
    <w:p>
      <w:pPr>
        <w:spacing w:before="80" w:after="80"/>
        <w:jc w:val="both"/>
      </w:pPr>
      <w:r>
        <w:rPr>
          <w:rFonts w:ascii="Arial" w:cs="Arial" w:eastAsia="Arial" w:hAnsi="Arial"/>
          <w:sz w:val="22"/>
          <w:szCs w:val="22"/>
        </w:rPr>
        <w:t xml:space="preserve">The </w:t>
      </w:r>
      <w:r>
        <w:rPr>
          <w:rFonts w:ascii="Arial" w:cs="Arial" w:eastAsia="Arial" w:hAnsi="Arial"/>
          <w:b/>
          <w:bCs/>
          <w:color w:val="000000"/>
          <w:sz w:val="22"/>
          <w:szCs w:val="22"/>
        </w:rPr>
        <w:t xml:space="preserve">Quantum-Safe Mini-VPN System</w:t>
      </w:r>
      <w:r>
        <w:rPr>
          <w:rFonts w:ascii="Arial" w:cs="Arial" w:eastAsia="Arial" w:hAnsi="Arial"/>
          <w:sz w:val="22"/>
          <w:szCs w:val="22"/>
        </w:rPr>
        <w:t xml:space="preserve"> is a </w:t>
      </w:r>
      <w:r>
        <w:rPr>
          <w:rFonts w:ascii="Arial" w:cs="Arial" w:eastAsia="Arial" w:hAnsi="Arial"/>
          <w:b/>
          <w:bCs/>
          <w:color w:val="000000"/>
          <w:sz w:val="22"/>
          <w:szCs w:val="22"/>
        </w:rPr>
        <w:t xml:space="preserve">valid, timely, and technically sound</w:t>
      </w:r>
      <w:r>
        <w:rPr>
          <w:rFonts w:ascii="Arial" w:cs="Arial" w:eastAsia="Arial" w:hAnsi="Arial"/>
          <w:sz w:val="22"/>
          <w:szCs w:val="22"/>
        </w:rPr>
        <w:t xml:space="preserve"> project that addresses a genuine and urgent global security problem. It correctly implements NIST-standardised post-quantum cryptography (Kyber-768 / ML-KEM) within a demonstrable VPN architecture, combined with authenticated encryption and live attack-resistance validation. The technology addresses </w:t>
      </w:r>
      <w:r>
        <w:rPr>
          <w:rFonts w:ascii="Arial" w:cs="Arial" w:eastAsia="Arial" w:hAnsi="Arial"/>
          <w:b/>
          <w:bCs/>
          <w:color w:val="000000"/>
          <w:sz w:val="22"/>
          <w:szCs w:val="22"/>
        </w:rPr>
        <w:t xml:space="preserve">immediate threats</w:t>
      </w:r>
      <w:r>
        <w:rPr>
          <w:rFonts w:ascii="Arial" w:cs="Arial" w:eastAsia="Arial" w:hAnsi="Arial"/>
          <w:sz w:val="22"/>
          <w:szCs w:val="22"/>
        </w:rPr>
        <w:t xml:space="preserve"> in healthcare, military, government, and critical infrastructure sectors that are actively targeted by Harvest Now, Decrypt Later campaigns.</w:t>
      </w:r>
    </w:p>
    <w:p>
      <w:pPr>
        <w:spacing w:before="80" w:after="80"/>
        <w:jc w:val="both"/>
      </w:pPr>
      <w:r>
        <w:rPr>
          <w:rFonts w:ascii="Arial" w:cs="Arial" w:eastAsia="Arial" w:hAnsi="Arial"/>
          <w:sz w:val="22"/>
          <w:szCs w:val="22"/>
        </w:rPr>
        <w:t xml:space="preserve">In its </w:t>
      </w:r>
      <w:r>
        <w:rPr>
          <w:rFonts w:ascii="Arial" w:cs="Arial" w:eastAsia="Arial" w:hAnsi="Arial"/>
          <w:b/>
          <w:bCs/>
          <w:color w:val="000000"/>
          <w:sz w:val="22"/>
          <w:szCs w:val="22"/>
        </w:rPr>
        <w:t xml:space="preserve">current form</w:t>
      </w:r>
      <w:r>
        <w:rPr>
          <w:rFonts w:ascii="Arial" w:cs="Arial" w:eastAsia="Arial" w:hAnsi="Arial"/>
          <w:sz w:val="22"/>
          <w:szCs w:val="22"/>
        </w:rPr>
        <w:t xml:space="preserve">, the project is </w:t>
      </w:r>
      <w:r>
        <w:rPr>
          <w:rFonts w:ascii="Arial" w:cs="Arial" w:eastAsia="Arial" w:hAnsi="Arial"/>
          <w:b/>
          <w:bCs/>
          <w:color w:val="000000"/>
          <w:sz w:val="22"/>
          <w:szCs w:val="22"/>
        </w:rPr>
        <w:t xml:space="preserve">not directly patentable</w:t>
      </w:r>
      <w:r>
        <w:rPr>
          <w:rFonts w:ascii="Arial" w:cs="Arial" w:eastAsia="Arial" w:hAnsi="Arial"/>
          <w:sz w:val="22"/>
          <w:szCs w:val="22"/>
        </w:rPr>
        <w:t xml:space="preserve"> because its core components (Kyber-768, AES-GCM, hybrid KEM) are established standards with significant prior art. However, the project has a </w:t>
      </w:r>
      <w:r>
        <w:rPr>
          <w:rFonts w:ascii="Arial" w:cs="Arial" w:eastAsia="Arial" w:hAnsi="Arial"/>
          <w:b/>
          <w:bCs/>
          <w:color w:val="000000"/>
          <w:sz w:val="22"/>
          <w:szCs w:val="22"/>
        </w:rPr>
        <w:t xml:space="preserve">clear and achievable path</w:t>
      </w:r>
      <w:r>
        <w:rPr>
          <w:rFonts w:ascii="Arial" w:cs="Arial" w:eastAsia="Arial" w:hAnsi="Arial"/>
          <w:sz w:val="22"/>
          <w:szCs w:val="22"/>
        </w:rPr>
        <w:t xml:space="preserve"> to both publication and patent protection through: (1) empirical benchmarking, (2) real-device case studies, and (3) domain-specific protocol adaptation for healthcare or SCADA environments. The author is strongly encouraged to pursue Phase 1 academic publication immediately, as the current implementation is publication-ready as a research artefact and demonstration system.</w:t>
      </w:r>
    </w:p>
    <w:p>
      <w:pPr>
        <w:pStyle w:val="Heading1"/>
        <w:pBdr>
          <w:bottom w:val="single" w:color="2E75B6" w:sz="6" w:space="1"/>
        </w:pBdr>
        <w:spacing w:before="280" w:after="120"/>
      </w:pPr>
      <w:r>
        <w:rPr>
          <w:rFonts w:ascii="Arial" w:cs="Arial" w:eastAsia="Arial" w:hAnsi="Arial"/>
          <w:b/>
          <w:bCs/>
          <w:color w:val="1F3864"/>
          <w:sz w:val="28"/>
          <w:szCs w:val="28"/>
        </w:rPr>
        <w:t xml:space="preserve">References</w:t>
      </w:r>
    </w:p>
    <w:p>
      <w:pPr>
        <w:spacing w:before="60" w:after="30"/>
        <w:jc w:val="both"/>
      </w:pPr>
      <w:r>
        <w:rPr>
          <w:rFonts w:ascii="Arial" w:cs="Arial" w:eastAsia="Arial" w:hAnsi="Arial"/>
          <w:b/>
          <w:bCs/>
          <w:color w:val="000000"/>
          <w:sz w:val="22"/>
          <w:szCs w:val="22"/>
        </w:rPr>
        <w:t xml:space="preserve">[1] </w:t>
      </w:r>
      <w:r>
        <w:rPr>
          <w:rFonts w:ascii="Arial" w:cs="Arial" w:eastAsia="Arial" w:hAnsi="Arial"/>
          <w:sz w:val="22"/>
          <w:szCs w:val="22"/>
        </w:rPr>
        <w:t xml:space="preserve">NIST FIPS 203: Module-Lattice-Based Key-Encapsulation Mechanism Standard. National Institute of Standards and Technology, August 2024.</w:t>
      </w:r>
    </w:p>
    <w:p>
      <w:pPr>
        <w:spacing w:before="30" w:after="30"/>
        <w:jc w:val="both"/>
      </w:pPr>
      <w:r>
        <w:rPr>
          <w:rFonts w:ascii="Arial" w:cs="Arial" w:eastAsia="Arial" w:hAnsi="Arial"/>
          <w:b/>
          <w:bCs/>
          <w:color w:val="000000"/>
          <w:sz w:val="22"/>
          <w:szCs w:val="22"/>
        </w:rPr>
        <w:t xml:space="preserve">[2] </w:t>
      </w:r>
      <w:r>
        <w:rPr>
          <w:rFonts w:ascii="Arial" w:cs="Arial" w:eastAsia="Arial" w:hAnsi="Arial"/>
          <w:sz w:val="22"/>
          <w:szCs w:val="22"/>
        </w:rPr>
        <w:t xml:space="preserve">Avanzi, R. et al. CRYSTALS-Kyber: Algorithm Specifications and Supporting Documentation. NIST PQC Round 3 Submission, 2021.</w:t>
      </w:r>
    </w:p>
    <w:p>
      <w:pPr>
        <w:spacing w:before="30" w:after="30"/>
        <w:jc w:val="both"/>
      </w:pPr>
      <w:r>
        <w:rPr>
          <w:rFonts w:ascii="Arial" w:cs="Arial" w:eastAsia="Arial" w:hAnsi="Arial"/>
          <w:b/>
          <w:bCs/>
          <w:color w:val="000000"/>
          <w:sz w:val="22"/>
          <w:szCs w:val="22"/>
        </w:rPr>
        <w:t xml:space="preserve">[3] </w:t>
      </w:r>
      <w:r>
        <w:rPr>
          <w:rFonts w:ascii="Arial" w:cs="Arial" w:eastAsia="Arial" w:hAnsi="Arial"/>
          <w:sz w:val="22"/>
          <w:szCs w:val="22"/>
        </w:rPr>
        <w:t xml:space="preserve">Shor, P. W. Polynomial-Time Algorithms for Prime Factorization and Discrete Logarithms on a Quantum Computer. SIAM Journal on Computing, 26(5), 1997.</w:t>
      </w:r>
    </w:p>
    <w:p>
      <w:pPr>
        <w:spacing w:before="30" w:after="30"/>
        <w:jc w:val="both"/>
      </w:pPr>
      <w:r>
        <w:rPr>
          <w:rFonts w:ascii="Arial" w:cs="Arial" w:eastAsia="Arial" w:hAnsi="Arial"/>
          <w:b/>
          <w:bCs/>
          <w:color w:val="000000"/>
          <w:sz w:val="22"/>
          <w:szCs w:val="22"/>
        </w:rPr>
        <w:t xml:space="preserve">[4] </w:t>
      </w:r>
      <w:r>
        <w:rPr>
          <w:rFonts w:ascii="Arial" w:cs="Arial" w:eastAsia="Arial" w:hAnsi="Arial"/>
          <w:sz w:val="22"/>
          <w:szCs w:val="22"/>
        </w:rPr>
        <w:t xml:space="preserve">Stebila, D., Mosca, M. Post-quantum key exchange for the Internet and the Open Quantum Safe project. SAC 2016.</w:t>
      </w:r>
    </w:p>
    <w:p>
      <w:pPr>
        <w:spacing w:before="30" w:after="30"/>
        <w:jc w:val="both"/>
      </w:pPr>
      <w:r>
        <w:rPr>
          <w:rFonts w:ascii="Arial" w:cs="Arial" w:eastAsia="Arial" w:hAnsi="Arial"/>
          <w:b/>
          <w:bCs/>
          <w:color w:val="000000"/>
          <w:sz w:val="22"/>
          <w:szCs w:val="22"/>
        </w:rPr>
        <w:t xml:space="preserve">[5] </w:t>
      </w:r>
      <w:r>
        <w:rPr>
          <w:rFonts w:ascii="Arial" w:cs="Arial" w:eastAsia="Arial" w:hAnsi="Arial"/>
          <w:sz w:val="22"/>
          <w:szCs w:val="22"/>
        </w:rPr>
        <w:t xml:space="preserve">NSA CNSA 2.0: Commercial National Security Algorithm Suite 2.0. US National Security Agency, September 2022.</w:t>
      </w:r>
    </w:p>
    <w:p>
      <w:pPr>
        <w:spacing w:before="30" w:after="30"/>
        <w:jc w:val="both"/>
      </w:pPr>
      <w:r>
        <w:rPr>
          <w:rFonts w:ascii="Arial" w:cs="Arial" w:eastAsia="Arial" w:hAnsi="Arial"/>
          <w:b/>
          <w:bCs/>
          <w:color w:val="000000"/>
          <w:sz w:val="22"/>
          <w:szCs w:val="22"/>
        </w:rPr>
        <w:t xml:space="preserve">[6] </w:t>
      </w:r>
      <w:r>
        <w:rPr>
          <w:rFonts w:ascii="Arial" w:cs="Arial" w:eastAsia="Arial" w:hAnsi="Arial"/>
          <w:sz w:val="22"/>
          <w:szCs w:val="22"/>
        </w:rPr>
        <w:t xml:space="preserve">RFC 4301: Security Architecture for the Internet Protocol. IETF, December 2005. (Replay protection standard)</w:t>
      </w:r>
    </w:p>
    <w:p>
      <w:pPr>
        <w:spacing w:before="30" w:after="80"/>
        <w:jc w:val="both"/>
      </w:pPr>
      <w:r>
        <w:rPr>
          <w:rFonts w:ascii="Arial" w:cs="Arial" w:eastAsia="Arial" w:hAnsi="Arial"/>
          <w:b/>
          <w:bCs/>
          <w:color w:val="000000"/>
          <w:sz w:val="22"/>
          <w:szCs w:val="22"/>
        </w:rPr>
        <w:t xml:space="preserve">[7] </w:t>
      </w:r>
      <w:r>
        <w:rPr>
          <w:rFonts w:ascii="Arial" w:cs="Arial" w:eastAsia="Arial" w:hAnsi="Arial"/>
          <w:sz w:val="22"/>
          <w:szCs w:val="22"/>
        </w:rPr>
        <w:t xml:space="preserve">Miller, D. OpenSSH 9.0 Release Notes: Hybrid Kyber768/X25519 Key Exchange. OpenBSD Project, April 2022.</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center"/>
    </w:pPr>
    <w:r>
      <w:rPr>
        <w:rFonts w:ascii="Arial" w:cs="Arial" w:eastAsia="Arial" w:hAnsi="Arial"/>
        <w:color w:val="666666"/>
        <w:sz w:val="18"/>
        <w:szCs w:val="18"/>
      </w:rPr>
      <w:t xml:space="preserve">Abhi-0888 / Mini_Tunnel  |  2026  |  Quantum-Safe VPN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jc w:val="right"/>
    </w:pPr>
    <w:r>
      <w:rPr>
        <w:rFonts w:ascii="Arial" w:cs="Arial" w:eastAsia="Arial" w:hAnsi="Arial"/>
        <w:i/>
        <w:iCs/>
        <w:color w:val="555555"/>
        <w:sz w:val="18"/>
        <w:szCs w:val="18"/>
      </w:rPr>
      <w:t xml:space="preserve">Quantum-Safe Mini-VPN System  |  Technical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2026-03-18T07:13:59.064Z</dcterms:created>
  <dcterms:modified xsi:type="dcterms:W3CDTF">2026-03-18T07:13:59.068Z</dcterms:modified>
</cp:coreProperties>
</file>

<file path=docProps/custom.xml><?xml version="1.0" encoding="utf-8"?>
<Properties xmlns="http://schemas.openxmlformats.org/officeDocument/2006/custom-properties" xmlns:vt="http://schemas.openxmlformats.org/officeDocument/2006/docPropsVTypes"/>
</file>