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exnvavzyj3u" w:id="0"/>
      <w:bookmarkEnd w:id="0"/>
      <w:r w:rsidDel="00000000" w:rsidR="00000000" w:rsidRPr="00000000">
        <w:rPr>
          <w:rFonts w:ascii="Roboto" w:cs="Roboto" w:eastAsia="Roboto" w:hAnsi="Roboto"/>
          <w:b w:val="1"/>
          <w:bCs w:val="1"/>
          <w:color w:val="0f1115"/>
          <w:sz w:val="30"/>
          <w:szCs w:val="30"/>
          <w:rtl w:val="0"/>
        </w:rPr>
        <w:t xml:space="preserve">Date: 24-07-26</w:t>
      </w:r>
    </w:p>
    <w:p w:rsidR="00000000" w:rsidDel="00000000" w:rsidP="00000000" w:rsidRDefault="00000000" w:rsidRPr="00000000" w14:paraId="0000000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bjthohqfyv0" w:id="1"/>
      <w:bookmarkEnd w:id="1"/>
      <w:r w:rsidDel="00000000" w:rsidR="00000000" w:rsidRPr="00000000">
        <w:rPr>
          <w:rFonts w:ascii="Roboto" w:cs="Roboto" w:eastAsia="Roboto" w:hAnsi="Roboto"/>
          <w:b w:val="1"/>
          <w:bCs w:val="1"/>
          <w:color w:val="0f1115"/>
          <w:sz w:val="30"/>
          <w:szCs w:val="30"/>
          <w:rtl w:val="0"/>
        </w:rPr>
        <w:t xml:space="preserve">AR-EAURP (Adversarial-Resilient &amp; Energy-Harvesting Aware EAURP) – Securing DRL Routing Against Trust Poisoning and Dynamic Energy Renewal</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Core Issue to Solve: Lekha’s DRL relies heavily on the Packet Forwarding Ratio (PFR) for trust. Adversaries can perform "Gray-Hole" or "Low-and-Slow" attacks—dropping just 15% of packets to stay above the 0.6 trust threshold while severely degrading PDR. Furthermore, the static energy model fails if nodes use renewable sources (solar). The DRL policy fails if it doesn't predict future energy income.</w:t>
        <w:br w:type="textWrapping"/>
        <w:t xml:space="preserve">Novelty: Introducing a Robust Adversarial Training Framework (GAN-DRL) and a Hybrid Energy Prediction Module (LSTM) into EAURP. The DRL agent is trained against a simulated adversary that attempts to manipulate trust metrics, ensuring high PDR even with 40% malicious nodes.</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Step-by-Step Roadmap:</w:t>
      </w:r>
    </w:p>
    <w:p w:rsidR="00000000" w:rsidDel="00000000" w:rsidP="00000000" w:rsidRDefault="00000000" w:rsidRPr="00000000" w14:paraId="00000005">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Design an Advanced Threat Model:</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Define an adversarial agent (within the simulation) that actively manipulates PT_NID packets. Example: The adversary forwards small packets but drops large data packets (Selective Forwarding), or it reports false high trust scores for other malicious nodes (Slander attack).</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Implement a GAN-based Anomaly Detection Module (pre-DRL):</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Before feeding trust values </w:t>
      </w:r>
      <w:r w:rsidDel="00000000" w:rsidR="00000000" w:rsidRPr="00000000">
        <w:rPr>
          <w:rFonts w:ascii="Roboto Mono" w:cs="Roboto Mono" w:eastAsia="Roboto Mono" w:hAnsi="Roboto Mono"/>
          <w:color w:val="0f1115"/>
          <w:sz w:val="21"/>
          <w:szCs w:val="21"/>
          <w:shd w:fill="ebeef2" w:val="clear"/>
          <w:rtl w:val="0"/>
        </w:rPr>
        <w:t xml:space="preserve">T_i</w:t>
      </w:r>
      <w:r w:rsidDel="00000000" w:rsidR="00000000" w:rsidRPr="00000000">
        <w:rPr>
          <w:rFonts w:ascii="Roboto" w:cs="Roboto" w:eastAsia="Roboto" w:hAnsi="Roboto"/>
          <w:color w:val="0f1115"/>
          <w:sz w:val="24"/>
          <w:szCs w:val="24"/>
          <w:rtl w:val="0"/>
        </w:rPr>
        <w:t xml:space="preserve"> into the DRL state, pass them through a Generative Adversarial Network (GAN) that learns the </w:t>
      </w:r>
      <w:r w:rsidDel="00000000" w:rsidR="00000000" w:rsidRPr="00000000">
        <w:rPr>
          <w:rFonts w:ascii="Roboto" w:cs="Roboto" w:eastAsia="Roboto" w:hAnsi="Roboto"/>
          <w:i w:val="1"/>
          <w:iCs w:val="1"/>
          <w:color w:val="0f1115"/>
          <w:sz w:val="24"/>
          <w:szCs w:val="24"/>
          <w:rtl w:val="0"/>
        </w:rPr>
        <w:t xml:space="preserve">distribution of legitimate node behavior</w:t>
      </w:r>
      <w:r w:rsidDel="00000000" w:rsidR="00000000" w:rsidRPr="00000000">
        <w:rPr>
          <w:rFonts w:ascii="Roboto" w:cs="Roboto" w:eastAsia="Roboto" w:hAnsi="Roboto"/>
          <w:color w:val="0f1115"/>
          <w:sz w:val="24"/>
          <w:szCs w:val="24"/>
          <w:rtl w:val="0"/>
        </w:rPr>
        <w:t xml:space="preserve">. If the observed PFR deviates significantly from the GAN-generated pattern, the system flags the node as "contested" and temporarily downgrades its trust weight by 50%.</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Integrate LSTM for Predictive Energy Harvesting:</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Replace the linear energy depletion (Eq. 8) with a solar/kinetic energy model. Use an LSTM to predict the </w:t>
      </w:r>
      <w:r w:rsidDel="00000000" w:rsidR="00000000" w:rsidRPr="00000000">
        <w:rPr>
          <w:rFonts w:ascii="Roboto" w:cs="Roboto" w:eastAsia="Roboto" w:hAnsi="Roboto"/>
          <w:i w:val="1"/>
          <w:iCs w:val="1"/>
          <w:color w:val="0f1115"/>
          <w:sz w:val="24"/>
          <w:szCs w:val="24"/>
          <w:rtl w:val="0"/>
        </w:rPr>
        <w:t xml:space="preserve">future available energy</w:t>
      </w:r>
      <w:r w:rsidDel="00000000" w:rsidR="00000000" w:rsidRPr="00000000">
        <w:rPr>
          <w:rFonts w:ascii="Roboto" w:cs="Roboto" w:eastAsia="Roboto" w:hAnsi="Roboto"/>
          <w:color w:val="0f1115"/>
          <w:sz w:val="24"/>
          <w:szCs w:val="24"/>
          <w:rtl w:val="0"/>
        </w:rPr>
        <w:t xml:space="preserve"> for the next 10 rounds. Feed this "Predicted Energy Surplus" as an additional state feature into the DRL. The agent learns to route through energy-harvesting nodes when they are predicted to have a surplus.</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Design a Constrained MDP (CMDP) for Security:</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Add a hard constraint: The PDR must remain above 90% even when the adversary controls 30% of nodes. If the DRL violates this, it receives a large negative reward (shaping the policy to avoid risky routes).</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Simulation &amp; Attack Injection:</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Run simulations in Python (OpenAI Gym + NS-3 integration). Vary the percentage of malicious nodes from 10% to 50%. Evaluate PDR and Delay under Blackhole, Grayhole, and Trust Poisoning attacks. Compare against vanilla DRL-EAURP (which will drop below 60% PDR under 30% attacks).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