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rFonts w:ascii="Calibri" w:hAnsi="Calibri"/>
          <w:b/>
          <w:i w:val="0"/>
          <w:color w:val="2E74B5"/>
          <w:sz w:val="18"/>
        </w:rPr>
        <w:t>KASPARRO HIRING ASSESSMENT</w:t>
      </w:r>
    </w:p>
    <w:p>
      <w:pPr>
        <w:spacing w:after="80"/>
      </w:pPr>
      <w:r>
        <w:rPr>
          <w:rFonts w:ascii="Calibri" w:hAnsi="Calibri"/>
          <w:b/>
          <w:i w:val="0"/>
          <w:color w:val="0B2545"/>
          <w:sz w:val="48"/>
        </w:rPr>
        <w:t>Data Analyst Take-Home Assignment</w:t>
      </w:r>
    </w:p>
    <w:p>
      <w:pPr>
        <w:spacing w:after="280"/>
      </w:pPr>
      <w:r>
        <w:rPr>
          <w:rFonts w:ascii="Calibri" w:hAnsi="Calibri"/>
          <w:b w:val="0"/>
          <w:i w:val="0"/>
          <w:color w:val="5A6370"/>
          <w:sz w:val="25"/>
        </w:rPr>
        <w:t>AsterVale AI Visibility Baseline, Month-on-Month Audit and Next-Sprint Diagnosis</w:t>
      </w:r>
    </w:p>
    <w:p>
      <w:pPr>
        <w:spacing w:after="20"/>
      </w:pPr>
      <w:r>
        <w:rPr>
          <w:rFonts w:ascii="Calibri" w:hAnsi="Calibri"/>
          <w:b/>
          <w:i w:val="0"/>
          <w:color w:val="000000"/>
          <w:sz w:val="19"/>
        </w:rPr>
        <w:t xml:space="preserve">Case: </w:t>
      </w:r>
      <w:r>
        <w:rPr>
          <w:rFonts w:ascii="Calibri" w:hAnsi="Calibri"/>
          <w:b w:val="0"/>
          <w:i w:val="0"/>
          <w:color w:val="000000"/>
          <w:sz w:val="19"/>
        </w:rPr>
        <w:t>Fictional US direct-to-consumer bedding brand</w:t>
      </w:r>
    </w:p>
    <w:p>
      <w:pPr>
        <w:spacing w:after="20"/>
      </w:pPr>
      <w:r>
        <w:rPr>
          <w:rFonts w:ascii="Calibri" w:hAnsi="Calibri"/>
          <w:b/>
          <w:i w:val="0"/>
          <w:color w:val="000000"/>
          <w:sz w:val="19"/>
        </w:rPr>
        <w:t xml:space="preserve">Expected effort: </w:t>
      </w:r>
      <w:r>
        <w:rPr>
          <w:rFonts w:ascii="Calibri" w:hAnsi="Calibri"/>
          <w:b w:val="0"/>
          <w:i w:val="0"/>
          <w:color w:val="000000"/>
          <w:sz w:val="19"/>
        </w:rPr>
        <w:t>Approximately 6 hours; do not spend more than 8 hours</w:t>
      </w:r>
    </w:p>
    <w:p>
      <w:pPr>
        <w:spacing w:after="20"/>
      </w:pPr>
      <w:r>
        <w:rPr>
          <w:rFonts w:ascii="Calibri" w:hAnsi="Calibri"/>
          <w:b/>
          <w:i w:val="0"/>
          <w:color w:val="000000"/>
          <w:sz w:val="19"/>
        </w:rPr>
        <w:t xml:space="preserve">Primary tools: </w:t>
      </w:r>
      <w:r>
        <w:rPr>
          <w:rFonts w:ascii="Calibri" w:hAnsi="Calibri"/>
          <w:b w:val="0"/>
          <w:i w:val="0"/>
          <w:color w:val="000000"/>
          <w:sz w:val="19"/>
        </w:rPr>
        <w:t>Python is mandatory; SQL is required for the supplied SQLite database</w:t>
      </w:r>
    </w:p>
    <w:p>
      <w:pPr>
        <w:spacing w:after="20"/>
      </w:pPr>
      <w:r>
        <w:rPr>
          <w:rFonts w:ascii="Calibri" w:hAnsi="Calibri"/>
          <w:b/>
          <w:i w:val="0"/>
          <w:color w:val="000000"/>
          <w:sz w:val="19"/>
        </w:rPr>
        <w:t xml:space="preserve">Submission: </w:t>
      </w:r>
      <w:r>
        <w:rPr>
          <w:rFonts w:ascii="Calibri" w:hAnsi="Calibri"/>
          <w:b w:val="0"/>
          <w:i w:val="0"/>
          <w:color w:val="000000"/>
          <w:sz w:val="19"/>
        </w:rPr>
        <w:t>One compressed folder using the exact structure in this brief</w:t>
      </w:r>
    </w:p>
    <w:p>
      <w:pPr>
        <w:spacing w:after="40"/>
      </w:pPr>
    </w:p>
    <w:tbl>
      <w:tblPr>
        <w:tblW w:type="dxa" w:w="9360"/>
        <w:jc w:val="left"/>
        <w:tblLayout w:type="fixed"/>
        <w:tblLook w:firstColumn="1" w:firstRow="1" w:lastColumn="0" w:lastRow="0" w:noHBand="0" w:noVBand="1" w:val="04A0"/>
        <w:tblInd w:type="dxa" w:w="120"/>
      </w:tblPr>
      <w:tblGrid>
        <w:gridCol w:w="9360"/>
      </w:tblGrid>
      <w:tr>
        <w:trPr/>
        <w:tc>
          <w:tcPr>
            <w:tcW w:type="dxa" w:w="9360"/>
            <w:shd w:fill="E8EEF5"/>
            <w:tcMar>
              <w:top w:w="80" w:type="dxa"/>
              <w:bottom w:w="80" w:type="dxa"/>
              <w:start w:w="120" w:type="dxa"/>
              <w:end w:w="120" w:type="dxa"/>
            </w:tcMar>
          </w:tcPr>
          <w:p>
            <w:pPr>
              <w:spacing w:before="40" w:after="40"/>
            </w:pPr>
            <w:r/>
            <w:r>
              <w:rPr>
                <w:rFonts w:ascii="Calibri" w:hAnsi="Calibri"/>
                <w:b/>
                <w:i w:val="0"/>
                <w:color w:val="0B2545"/>
                <w:sz w:val="21"/>
              </w:rPr>
              <w:t xml:space="preserve">Your job: </w:t>
            </w:r>
            <w:r>
              <w:rPr>
                <w:rFonts w:ascii="Calibri" w:hAnsi="Calibri"/>
                <w:b w:val="0"/>
                <w:i w:val="0"/>
                <w:color w:val="000000"/>
                <w:sz w:val="21"/>
              </w:rPr>
              <w:t>Establish a reliable Month 1 baseline, determine what genuinely moved in Month 2 after fixes were deployed, explain the business meaning, and recommend what should happen next.</w:t>
            </w:r>
          </w:p>
        </w:tc>
      </w:tr>
    </w:tbl>
    <w:p>
      <w:pPr>
        <w:spacing w:after="20"/>
      </w:pPr>
    </w:p>
    <w:p>
      <w:pPr>
        <w:pStyle w:val="Heading1"/>
      </w:pPr>
      <w:r>
        <w:t>1. What this assignment is testing</w:t>
      </w:r>
    </w:p>
    <w:p>
      <w:r>
        <w:t>Kasparro analysts work at the intersection of data processing, measurement design, audit quality, business investigation and client communication. This case is not a dashboard-design contest and does not require machine learning.</w:t>
      </w:r>
    </w:p>
    <w:p>
      <w:pPr>
        <w:pStyle w:val="ListBullet"/>
      </w:pPr>
      <w:r>
        <w:t>Build a reproducible analytical pipeline from imperfect source data.</w:t>
      </w:r>
    </w:p>
    <w:p>
      <w:pPr>
        <w:pStyle w:val="ListBullet"/>
      </w:pPr>
      <w:r>
        <w:t>Protect the integrity of a baseline that will be reused in future client reporting.</w:t>
      </w:r>
    </w:p>
    <w:p>
      <w:pPr>
        <w:pStyle w:val="ListBullet"/>
      </w:pPr>
      <w:r>
        <w:t>Compare two audits fairly using both reported-period and matched-cohort views.</w:t>
      </w:r>
    </w:p>
    <w:p>
      <w:pPr>
        <w:pStyle w:val="ListBullet"/>
      </w:pPr>
      <w:r>
        <w:t>Separate observed movement, plausible explanation and proven causation.</w:t>
      </w:r>
    </w:p>
    <w:p>
      <w:pPr>
        <w:pStyle w:val="ListBullet"/>
      </w:pPr>
      <w:r>
        <w:t>Translate analysis into a short, prioritised business plan.</w:t>
      </w:r>
    </w:p>
    <w:p>
      <w:pPr>
        <w:pStyle w:val="ListBullet"/>
      </w:pPr>
      <w:r>
        <w:t>Explain and defend the work in a live follow-up interview.</w:t>
      </w:r>
    </w:p>
    <w:p>
      <w:pPr>
        <w:pStyle w:val="Heading1"/>
      </w:pPr>
      <w:r>
        <w:t>2. Business context</w:t>
      </w:r>
    </w:p>
    <w:p>
      <w:r>
        <w:t>AsterVale is a fictional US direct-to-consumer bedding brand. Its lead product is a $169 queen cooling-sheet set positioned for hot sleepers. Management believes the product is differentiated, but AI assistants often omit AsterVale from non-branded category answers and sometimes hedge when directly asked whether the brand is worth buying.</w:t>
      </w:r>
    </w:p>
    <w:p>
      <w:r>
        <w:t>Kasparro ran a Month 1 AI visibility audit, established an initial baseline, deployed a set of website and authority fixes, and ran the same audit again in Month 2. The client wants to know whether performance improved, which improvements are credible, what remains weak, and which actions should form the next sprint.</w:t>
      </w:r>
    </w:p>
    <w:tbl>
      <w:tblPr>
        <w:tblStyle w:val="TableGrid"/>
        <w:tblW w:type="dxa" w:w="9360"/>
        <w:jc w:val="left"/>
        <w:tblLayout w:type="fixed"/>
        <w:tblLook w:firstColumn="1" w:firstRow="1" w:lastColumn="0" w:lastRow="0" w:noHBand="0" w:noVBand="1" w:val="04A0"/>
        <w:tblInd w:type="dxa" w:w="120"/>
      </w:tblPr>
      <w:tblGrid>
        <w:gridCol w:w="1800"/>
        <w:gridCol w:w="1400"/>
        <w:gridCol w:w="6160"/>
      </w:tblGrid>
      <w:tr>
        <w:trPr>
          <w:tblHeader w:val="true"/>
        </w:trPr>
        <w:tc>
          <w:tcPr>
            <w:tcW w:type="dxa" w:w="1800"/>
            <w:shd w:fill="F2F4F7"/>
            <w:vAlign w:val="center"/>
            <w:tcMar>
              <w:top w:w="80" w:type="dxa"/>
              <w:bottom w:w="80" w:type="dxa"/>
              <w:start w:w="120" w:type="dxa"/>
              <w:end w:w="120" w:type="dxa"/>
            </w:tcMar>
          </w:tcPr>
          <w:p>
            <w:pPr>
              <w:spacing w:before="0" w:after="0" w:line="252" w:lineRule="auto"/>
              <w:jc w:val="left"/>
            </w:pPr>
            <w:r/>
            <w:r>
              <w:rPr>
                <w:rFonts w:ascii="Calibri" w:hAnsi="Calibri"/>
                <w:b/>
                <w:i w:val="0"/>
                <w:color w:val="0B2545"/>
                <w:sz w:val="18"/>
              </w:rPr>
              <w:t>Brand</w:t>
            </w:r>
          </w:p>
        </w:tc>
        <w:tc>
          <w:tcPr>
            <w:tcW w:type="dxa" w:w="1400"/>
            <w:shd w:fill="F2F4F7"/>
            <w:vAlign w:val="center"/>
            <w:tcMar>
              <w:top w:w="80" w:type="dxa"/>
              <w:bottom w:w="80" w:type="dxa"/>
              <w:start w:w="120" w:type="dxa"/>
              <w:end w:w="120" w:type="dxa"/>
            </w:tcMar>
          </w:tcPr>
          <w:p>
            <w:pPr>
              <w:spacing w:before="0" w:after="0" w:line="252" w:lineRule="auto"/>
              <w:jc w:val="left"/>
            </w:pPr>
            <w:r/>
            <w:r>
              <w:rPr>
                <w:rFonts w:ascii="Calibri" w:hAnsi="Calibri"/>
                <w:b/>
                <w:i w:val="0"/>
                <w:color w:val="0B2545"/>
                <w:sz w:val="18"/>
              </w:rPr>
              <w:t>Role</w:t>
            </w:r>
          </w:p>
        </w:tc>
        <w:tc>
          <w:tcPr>
            <w:tcW w:type="dxa" w:w="6160"/>
            <w:shd w:fill="F2F4F7"/>
            <w:vAlign w:val="center"/>
            <w:tcMar>
              <w:top w:w="80" w:type="dxa"/>
              <w:bottom w:w="80" w:type="dxa"/>
              <w:start w:w="120" w:type="dxa"/>
              <w:end w:w="120" w:type="dxa"/>
            </w:tcMar>
          </w:tcPr>
          <w:p>
            <w:pPr>
              <w:spacing w:before="0" w:after="0" w:line="252" w:lineRule="auto"/>
              <w:jc w:val="left"/>
            </w:pPr>
            <w:r/>
            <w:r>
              <w:rPr>
                <w:rFonts w:ascii="Calibri" w:hAnsi="Calibri"/>
                <w:b/>
                <w:i w:val="0"/>
                <w:color w:val="0B2545"/>
                <w:sz w:val="18"/>
              </w:rPr>
              <w:t>Positioning</w:t>
            </w:r>
          </w:p>
        </w:tc>
      </w:tr>
      <w:tr>
        <w:trPr/>
        <w:tc>
          <w:tcPr>
            <w:tcW w:type="dxa" w:w="1800"/>
            <w:vAlign w:val="center"/>
            <w:tcMar>
              <w:top w:w="80" w:type="dxa"/>
              <w:bottom w:w="80" w:type="dxa"/>
              <w:start w:w="120" w:type="dxa"/>
              <w:end w:w="120" w:type="dxa"/>
            </w:tcMar>
          </w:tcPr>
          <w:p>
            <w:pPr>
              <w:spacing w:before="0" w:after="0" w:line="252" w:lineRule="auto"/>
              <w:jc w:val="left"/>
            </w:pPr>
            <w:r/>
            <w:r>
              <w:rPr>
                <w:rFonts w:ascii="Calibri" w:hAnsi="Calibri"/>
                <w:b w:val="0"/>
                <w:i w:val="0"/>
                <w:color w:val="000000"/>
                <w:sz w:val="18"/>
              </w:rPr>
              <w:t>AsterVale</w:t>
            </w:r>
          </w:p>
        </w:tc>
        <w:tc>
          <w:tcPr>
            <w:tcW w:type="dxa" w:w="1400"/>
            <w:vAlign w:val="center"/>
            <w:tcMar>
              <w:top w:w="80" w:type="dxa"/>
              <w:bottom w:w="80" w:type="dxa"/>
              <w:start w:w="120" w:type="dxa"/>
              <w:end w:w="120" w:type="dxa"/>
            </w:tcMar>
          </w:tcPr>
          <w:p>
            <w:pPr>
              <w:spacing w:before="0" w:after="0" w:line="252" w:lineRule="auto"/>
              <w:jc w:val="left"/>
            </w:pPr>
            <w:r/>
            <w:r>
              <w:rPr>
                <w:rFonts w:ascii="Calibri" w:hAnsi="Calibri"/>
                <w:b w:val="0"/>
                <w:i w:val="0"/>
                <w:color w:val="000000"/>
                <w:sz w:val="18"/>
              </w:rPr>
              <w:t>Target</w:t>
            </w:r>
          </w:p>
        </w:tc>
        <w:tc>
          <w:tcPr>
            <w:tcW w:type="dxa" w:w="6160"/>
            <w:vAlign w:val="center"/>
            <w:tcMar>
              <w:top w:w="80" w:type="dxa"/>
              <w:bottom w:w="80" w:type="dxa"/>
              <w:start w:w="120" w:type="dxa"/>
              <w:end w:w="120" w:type="dxa"/>
            </w:tcMar>
          </w:tcPr>
          <w:p>
            <w:pPr>
              <w:spacing w:before="0" w:after="0" w:line="252" w:lineRule="auto"/>
              <w:jc w:val="left"/>
            </w:pPr>
            <w:r/>
            <w:r>
              <w:rPr>
                <w:rFonts w:ascii="Calibri" w:hAnsi="Calibri"/>
                <w:b w:val="0"/>
                <w:i w:val="0"/>
                <w:color w:val="000000"/>
                <w:sz w:val="18"/>
              </w:rPr>
              <w:t>Plant-based cooling sheets for hot sleepers</w:t>
            </w:r>
          </w:p>
        </w:tc>
      </w:tr>
      <w:tr>
        <w:trPr/>
        <w:tc>
          <w:tcPr>
            <w:tcW w:type="dxa" w:w="1800"/>
            <w:vAlign w:val="center"/>
            <w:tcMar>
              <w:top w:w="80" w:type="dxa"/>
              <w:bottom w:w="80" w:type="dxa"/>
              <w:start w:w="120" w:type="dxa"/>
              <w:end w:w="120" w:type="dxa"/>
            </w:tcMar>
          </w:tcPr>
          <w:p>
            <w:pPr>
              <w:spacing w:before="0" w:after="0" w:line="252" w:lineRule="auto"/>
              <w:jc w:val="left"/>
            </w:pPr>
            <w:r/>
            <w:r>
              <w:rPr>
                <w:rFonts w:ascii="Calibri" w:hAnsi="Calibri"/>
                <w:b w:val="0"/>
                <w:i w:val="0"/>
                <w:color w:val="000000"/>
                <w:sz w:val="18"/>
              </w:rPr>
              <w:t>Serein Sleep</w:t>
            </w:r>
          </w:p>
        </w:tc>
        <w:tc>
          <w:tcPr>
            <w:tcW w:type="dxa" w:w="1400"/>
            <w:vAlign w:val="center"/>
            <w:tcMar>
              <w:top w:w="80" w:type="dxa"/>
              <w:bottom w:w="80" w:type="dxa"/>
              <w:start w:w="120" w:type="dxa"/>
              <w:end w:w="120" w:type="dxa"/>
            </w:tcMar>
          </w:tcPr>
          <w:p>
            <w:pPr>
              <w:spacing w:before="0" w:after="0" w:line="252" w:lineRule="auto"/>
              <w:jc w:val="left"/>
            </w:pPr>
            <w:r/>
            <w:r>
              <w:rPr>
                <w:rFonts w:ascii="Calibri" w:hAnsi="Calibri"/>
                <w:b w:val="0"/>
                <w:i w:val="0"/>
                <w:color w:val="000000"/>
                <w:sz w:val="18"/>
              </w:rPr>
              <w:t>Competitor</w:t>
            </w:r>
          </w:p>
        </w:tc>
        <w:tc>
          <w:tcPr>
            <w:tcW w:type="dxa" w:w="6160"/>
            <w:vAlign w:val="center"/>
            <w:tcMar>
              <w:top w:w="80" w:type="dxa"/>
              <w:bottom w:w="80" w:type="dxa"/>
              <w:start w:w="120" w:type="dxa"/>
              <w:end w:w="120" w:type="dxa"/>
            </w:tcMar>
          </w:tcPr>
          <w:p>
            <w:pPr>
              <w:spacing w:before="0" w:after="0" w:line="252" w:lineRule="auto"/>
              <w:jc w:val="left"/>
            </w:pPr>
            <w:r/>
            <w:r>
              <w:rPr>
                <w:rFonts w:ascii="Calibri" w:hAnsi="Calibri"/>
                <w:b w:val="0"/>
                <w:i w:val="0"/>
                <w:color w:val="000000"/>
                <w:sz w:val="18"/>
              </w:rPr>
              <w:t>Premium clean-material bedding</w:t>
            </w:r>
          </w:p>
        </w:tc>
      </w:tr>
      <w:tr>
        <w:trPr/>
        <w:tc>
          <w:tcPr>
            <w:tcW w:type="dxa" w:w="1800"/>
            <w:vAlign w:val="center"/>
            <w:tcMar>
              <w:top w:w="80" w:type="dxa"/>
              <w:bottom w:w="80" w:type="dxa"/>
              <w:start w:w="120" w:type="dxa"/>
              <w:end w:w="120" w:type="dxa"/>
            </w:tcMar>
          </w:tcPr>
          <w:p>
            <w:pPr>
              <w:spacing w:before="0" w:after="0" w:line="252" w:lineRule="auto"/>
              <w:jc w:val="left"/>
            </w:pPr>
            <w:r/>
            <w:r>
              <w:rPr>
                <w:rFonts w:ascii="Calibri" w:hAnsi="Calibri"/>
                <w:b w:val="0"/>
                <w:i w:val="0"/>
                <w:color w:val="000000"/>
                <w:sz w:val="18"/>
              </w:rPr>
              <w:t>ArcticLoom</w:t>
            </w:r>
          </w:p>
        </w:tc>
        <w:tc>
          <w:tcPr>
            <w:tcW w:type="dxa" w:w="1400"/>
            <w:vAlign w:val="center"/>
            <w:tcMar>
              <w:top w:w="80" w:type="dxa"/>
              <w:bottom w:w="80" w:type="dxa"/>
              <w:start w:w="120" w:type="dxa"/>
              <w:end w:w="120" w:type="dxa"/>
            </w:tcMar>
          </w:tcPr>
          <w:p>
            <w:pPr>
              <w:spacing w:before="0" w:after="0" w:line="252" w:lineRule="auto"/>
              <w:jc w:val="left"/>
            </w:pPr>
            <w:r/>
            <w:r>
              <w:rPr>
                <w:rFonts w:ascii="Calibri" w:hAnsi="Calibri"/>
                <w:b w:val="0"/>
                <w:i w:val="0"/>
                <w:color w:val="000000"/>
                <w:sz w:val="18"/>
              </w:rPr>
              <w:t>Competitor</w:t>
            </w:r>
          </w:p>
        </w:tc>
        <w:tc>
          <w:tcPr>
            <w:tcW w:type="dxa" w:w="6160"/>
            <w:vAlign w:val="center"/>
            <w:tcMar>
              <w:top w:w="80" w:type="dxa"/>
              <w:bottom w:w="80" w:type="dxa"/>
              <w:start w:w="120" w:type="dxa"/>
              <w:end w:w="120" w:type="dxa"/>
            </w:tcMar>
          </w:tcPr>
          <w:p>
            <w:pPr>
              <w:spacing w:before="0" w:after="0" w:line="252" w:lineRule="auto"/>
              <w:jc w:val="left"/>
            </w:pPr>
            <w:r/>
            <w:r>
              <w:rPr>
                <w:rFonts w:ascii="Calibri" w:hAnsi="Calibri"/>
                <w:b w:val="0"/>
                <w:i w:val="0"/>
                <w:color w:val="000000"/>
                <w:sz w:val="18"/>
              </w:rPr>
              <w:t>Performance-led cooling technology</w:t>
            </w:r>
          </w:p>
        </w:tc>
      </w:tr>
      <w:tr>
        <w:trPr/>
        <w:tc>
          <w:tcPr>
            <w:tcW w:type="dxa" w:w="1800"/>
            <w:vAlign w:val="center"/>
            <w:tcMar>
              <w:top w:w="80" w:type="dxa"/>
              <w:bottom w:w="80" w:type="dxa"/>
              <w:start w:w="120" w:type="dxa"/>
              <w:end w:w="120" w:type="dxa"/>
            </w:tcMar>
          </w:tcPr>
          <w:p>
            <w:pPr>
              <w:spacing w:before="0" w:after="0" w:line="252" w:lineRule="auto"/>
              <w:jc w:val="left"/>
            </w:pPr>
            <w:r/>
            <w:r>
              <w:rPr>
                <w:rFonts w:ascii="Calibri" w:hAnsi="Calibri"/>
                <w:b w:val="0"/>
                <w:i w:val="0"/>
                <w:color w:val="000000"/>
                <w:sz w:val="18"/>
              </w:rPr>
              <w:t>RestNest</w:t>
            </w:r>
          </w:p>
        </w:tc>
        <w:tc>
          <w:tcPr>
            <w:tcW w:type="dxa" w:w="1400"/>
            <w:vAlign w:val="center"/>
            <w:tcMar>
              <w:top w:w="80" w:type="dxa"/>
              <w:bottom w:w="80" w:type="dxa"/>
              <w:start w:w="120" w:type="dxa"/>
              <w:end w:w="120" w:type="dxa"/>
            </w:tcMar>
          </w:tcPr>
          <w:p>
            <w:pPr>
              <w:spacing w:before="0" w:after="0" w:line="252" w:lineRule="auto"/>
              <w:jc w:val="left"/>
            </w:pPr>
            <w:r/>
            <w:r>
              <w:rPr>
                <w:rFonts w:ascii="Calibri" w:hAnsi="Calibri"/>
                <w:b w:val="0"/>
                <w:i w:val="0"/>
                <w:color w:val="000000"/>
                <w:sz w:val="18"/>
              </w:rPr>
              <w:t>Competitor</w:t>
            </w:r>
          </w:p>
        </w:tc>
        <w:tc>
          <w:tcPr>
            <w:tcW w:type="dxa" w:w="6160"/>
            <w:vAlign w:val="center"/>
            <w:tcMar>
              <w:top w:w="80" w:type="dxa"/>
              <w:bottom w:w="80" w:type="dxa"/>
              <w:start w:w="120" w:type="dxa"/>
              <w:end w:w="120" w:type="dxa"/>
            </w:tcMar>
          </w:tcPr>
          <w:p>
            <w:pPr>
              <w:spacing w:before="0" w:after="0" w:line="252" w:lineRule="auto"/>
              <w:jc w:val="left"/>
            </w:pPr>
            <w:r/>
            <w:r>
              <w:rPr>
                <w:rFonts w:ascii="Calibri" w:hAnsi="Calibri"/>
                <w:b w:val="0"/>
                <w:i w:val="0"/>
                <w:color w:val="000000"/>
                <w:sz w:val="18"/>
              </w:rPr>
              <w:t>Value-focused D2C bedding</w:t>
            </w:r>
          </w:p>
        </w:tc>
      </w:tr>
      <w:tr>
        <w:trPr/>
        <w:tc>
          <w:tcPr>
            <w:tcW w:type="dxa" w:w="1800"/>
            <w:vAlign w:val="center"/>
            <w:tcMar>
              <w:top w:w="80" w:type="dxa"/>
              <w:bottom w:w="80" w:type="dxa"/>
              <w:start w:w="120" w:type="dxa"/>
              <w:end w:w="120" w:type="dxa"/>
            </w:tcMar>
          </w:tcPr>
          <w:p>
            <w:pPr>
              <w:spacing w:before="0" w:after="0" w:line="252" w:lineRule="auto"/>
              <w:jc w:val="left"/>
            </w:pPr>
            <w:r/>
            <w:r>
              <w:rPr>
                <w:rFonts w:ascii="Calibri" w:hAnsi="Calibri"/>
                <w:b w:val="0"/>
                <w:i w:val="0"/>
                <w:color w:val="000000"/>
                <w:sz w:val="18"/>
              </w:rPr>
              <w:t>Eucalune</w:t>
            </w:r>
          </w:p>
        </w:tc>
        <w:tc>
          <w:tcPr>
            <w:tcW w:type="dxa" w:w="1400"/>
            <w:vAlign w:val="center"/>
            <w:tcMar>
              <w:top w:w="80" w:type="dxa"/>
              <w:bottom w:w="80" w:type="dxa"/>
              <w:start w:w="120" w:type="dxa"/>
              <w:end w:w="120" w:type="dxa"/>
            </w:tcMar>
          </w:tcPr>
          <w:p>
            <w:pPr>
              <w:spacing w:before="0" w:after="0" w:line="252" w:lineRule="auto"/>
              <w:jc w:val="left"/>
            </w:pPr>
            <w:r/>
            <w:r>
              <w:rPr>
                <w:rFonts w:ascii="Calibri" w:hAnsi="Calibri"/>
                <w:b w:val="0"/>
                <w:i w:val="0"/>
                <w:color w:val="000000"/>
                <w:sz w:val="18"/>
              </w:rPr>
              <w:t>Competitor</w:t>
            </w:r>
          </w:p>
        </w:tc>
        <w:tc>
          <w:tcPr>
            <w:tcW w:type="dxa" w:w="6160"/>
            <w:vAlign w:val="center"/>
            <w:tcMar>
              <w:top w:w="80" w:type="dxa"/>
              <w:bottom w:w="80" w:type="dxa"/>
              <w:start w:w="120" w:type="dxa"/>
              <w:end w:w="120" w:type="dxa"/>
            </w:tcMar>
          </w:tcPr>
          <w:p>
            <w:pPr>
              <w:spacing w:before="0" w:after="0" w:line="252" w:lineRule="auto"/>
              <w:jc w:val="left"/>
            </w:pPr>
            <w:r/>
            <w:r>
              <w:rPr>
                <w:rFonts w:ascii="Calibri" w:hAnsi="Calibri"/>
                <w:b w:val="0"/>
                <w:i w:val="0"/>
                <w:color w:val="000000"/>
                <w:sz w:val="18"/>
              </w:rPr>
              <w:t>Eucalyptus bedding with sustainability cues</w:t>
            </w:r>
          </w:p>
        </w:tc>
      </w:tr>
    </w:tbl>
    <w:p>
      <w:pPr>
        <w:spacing w:after="20"/>
      </w:pPr>
    </w:p>
    <w:p>
      <w:pPr>
        <w:pStyle w:val="Heading1"/>
      </w:pPr>
      <w:r>
        <w:t>3. Domain primer</w:t>
      </w:r>
    </w:p>
    <w:p>
      <w:pPr>
        <w:pStyle w:val="Heading2"/>
      </w:pPr>
      <w:r>
        <w:t>3.1 What an AI visibility audit measures</w:t>
      </w:r>
    </w:p>
    <w:p>
      <w:r>
        <w:t>An audit sends a locked set of consumer questions to multiple AI platforms. Each prompt-platform-replicate combination is one planned audit cell. The response is then coded for brand inclusion, recommendation behaviour, prominence and citations.</w:t>
      </w:r>
    </w:p>
    <w:p>
      <w:pPr>
        <w:pStyle w:val="ListBullet"/>
      </w:pPr>
      <w:r>
        <w:t>Non-branded prompts represent discovery: the consumer has not named AsterVale.</w:t>
      </w:r>
    </w:p>
    <w:p>
      <w:pPr>
        <w:pStyle w:val="ListBullet"/>
      </w:pPr>
      <w:r>
        <w:t>Branded prompts represent evaluation: the consumer explicitly asks about AsterVale.</w:t>
      </w:r>
    </w:p>
    <w:p>
      <w:pPr>
        <w:pStyle w:val="ListBullet"/>
      </w:pPr>
      <w:r>
        <w:t>Mention means the brand appears; shortlist means it is presented as a serious option; recommendation is a stronger positive outcome; top choice is the strongest outcome.</w:t>
      </w:r>
    </w:p>
    <w:p>
      <w:pPr>
        <w:pStyle w:val="ListBullet"/>
      </w:pPr>
      <w:r>
        <w:t>Prominence captures where the brand appears in an ordered answer.</w:t>
      </w:r>
    </w:p>
    <w:p>
      <w:pPr>
        <w:pStyle w:val="ListBullet"/>
      </w:pPr>
      <w:r>
        <w:t>Owned citations point to the brand's own domain. Third-party citations point to independent or non-owned sources associated with the brand.</w:t>
      </w:r>
    </w:p>
    <w:p>
      <w:pPr>
        <w:pStyle w:val="Heading2"/>
      </w:pPr>
      <w:r>
        <w:t>3.2 Why Month 1 and Month 2 are not automatically comparable</w:t>
      </w:r>
    </w:p>
    <w:p>
      <w:r>
        <w:t>AI answers vary. A fair comparison requires the same prompt, platform and replicate cells to be eligible in both months. A reported-period view describes each month's available data; a matched-core view is the primary basis for claiming movement.</w:t>
      </w:r>
    </w:p>
    <w:tbl>
      <w:tblPr>
        <w:tblW w:type="dxa" w:w="9360"/>
        <w:jc w:val="left"/>
        <w:tblLayout w:type="fixed"/>
        <w:tblLook w:firstColumn="1" w:firstRow="1" w:lastColumn="0" w:lastRow="0" w:noHBand="0" w:noVBand="1" w:val="04A0"/>
        <w:tblInd w:type="dxa" w:w="120"/>
      </w:tblPr>
      <w:tblGrid>
        <w:gridCol w:w="9360"/>
      </w:tblGrid>
      <w:tr>
        <w:trPr/>
        <w:tc>
          <w:tcPr>
            <w:tcW w:type="dxa" w:w="9360"/>
            <w:shd w:fill="F4F6F9"/>
            <w:tcMar>
              <w:top w:w="80" w:type="dxa"/>
              <w:bottom w:w="80" w:type="dxa"/>
              <w:start w:w="120" w:type="dxa"/>
              <w:end w:w="120" w:type="dxa"/>
            </w:tcMar>
          </w:tcPr>
          <w:p>
            <w:pPr>
              <w:spacing w:before="40" w:after="40"/>
            </w:pPr>
            <w:r/>
            <w:r>
              <w:rPr>
                <w:rFonts w:ascii="Calibri" w:hAnsi="Calibri"/>
                <w:b/>
                <w:i w:val="0"/>
                <w:color w:val="0B2545"/>
                <w:sz w:val="21"/>
              </w:rPr>
              <w:t xml:space="preserve">Causality boundary: </w:t>
            </w:r>
            <w:r>
              <w:rPr>
                <w:rFonts w:ascii="Calibri" w:hAnsi="Calibri"/>
                <w:b w:val="0"/>
                <w:i w:val="0"/>
                <w:color w:val="000000"/>
                <w:sz w:val="21"/>
              </w:rPr>
              <w:t>Two monthly audits can show movement consistent with a deployed fix. They do not by themselves prove that the fix caused the movement.</w:t>
            </w:r>
          </w:p>
        </w:tc>
      </w:tr>
    </w:tbl>
    <w:p>
      <w:pPr>
        <w:spacing w:after="20"/>
      </w:pPr>
    </w:p>
    <w:p>
      <w:r>
        <w:br w:type="page"/>
      </w:r>
    </w:p>
    <w:p>
      <w:pPr>
        <w:pStyle w:val="Heading1"/>
      </w:pPr>
      <w:r>
        <w:t>4. Files supplied</w:t>
      </w:r>
    </w:p>
    <w:tbl>
      <w:tblPr>
        <w:tblStyle w:val="TableGrid"/>
        <w:tblW w:type="dxa" w:w="9360"/>
        <w:jc w:val="left"/>
        <w:tblLayout w:type="fixed"/>
        <w:tblLook w:firstColumn="1" w:firstRow="1" w:lastColumn="0" w:lastRow="0" w:noHBand="0" w:noVBand="1" w:val="04A0"/>
        <w:tblInd w:type="dxa" w:w="120"/>
      </w:tblPr>
      <w:tblGrid>
        <w:gridCol w:w="2740"/>
        <w:gridCol w:w="3180"/>
        <w:gridCol w:w="3440"/>
      </w:tblGrid>
      <w:tr>
        <w:trPr>
          <w:tblHeader w:val="true"/>
        </w:trPr>
        <w:tc>
          <w:tcPr>
            <w:tcW w:type="dxa" w:w="2740"/>
            <w:shd w:fill="F2F4F7"/>
            <w:vAlign w:val="center"/>
            <w:tcMar>
              <w:top w:w="80" w:type="dxa"/>
              <w:bottom w:w="80" w:type="dxa"/>
              <w:start w:w="120" w:type="dxa"/>
              <w:end w:w="120" w:type="dxa"/>
            </w:tcMar>
          </w:tcPr>
          <w:p>
            <w:pPr>
              <w:spacing w:before="0" w:after="0" w:line="252" w:lineRule="auto"/>
              <w:jc w:val="left"/>
            </w:pPr>
            <w:r/>
            <w:r>
              <w:rPr>
                <w:rFonts w:ascii="Calibri" w:hAnsi="Calibri"/>
                <w:b/>
                <w:i w:val="0"/>
                <w:color w:val="0B2545"/>
                <w:sz w:val="17"/>
              </w:rPr>
              <w:t>File</w:t>
            </w:r>
          </w:p>
        </w:tc>
        <w:tc>
          <w:tcPr>
            <w:tcW w:type="dxa" w:w="3180"/>
            <w:shd w:fill="F2F4F7"/>
            <w:vAlign w:val="center"/>
            <w:tcMar>
              <w:top w:w="80" w:type="dxa"/>
              <w:bottom w:w="80" w:type="dxa"/>
              <w:start w:w="120" w:type="dxa"/>
              <w:end w:w="120" w:type="dxa"/>
            </w:tcMar>
          </w:tcPr>
          <w:p>
            <w:pPr>
              <w:spacing w:before="0" w:after="0" w:line="252" w:lineRule="auto"/>
              <w:jc w:val="left"/>
            </w:pPr>
            <w:r/>
            <w:r>
              <w:rPr>
                <w:rFonts w:ascii="Calibri" w:hAnsi="Calibri"/>
                <w:b/>
                <w:i w:val="0"/>
                <w:color w:val="0B2545"/>
                <w:sz w:val="17"/>
              </w:rPr>
              <w:t>Purpose</w:t>
            </w:r>
          </w:p>
        </w:tc>
        <w:tc>
          <w:tcPr>
            <w:tcW w:type="dxa" w:w="3440"/>
            <w:shd w:fill="F2F4F7"/>
            <w:vAlign w:val="center"/>
            <w:tcMar>
              <w:top w:w="80" w:type="dxa"/>
              <w:bottom w:w="80" w:type="dxa"/>
              <w:start w:w="120" w:type="dxa"/>
              <w:end w:w="120" w:type="dxa"/>
            </w:tcMar>
          </w:tcPr>
          <w:p>
            <w:pPr>
              <w:spacing w:before="0" w:after="0" w:line="252" w:lineRule="auto"/>
              <w:jc w:val="left"/>
            </w:pPr>
            <w:r/>
            <w:r>
              <w:rPr>
                <w:rFonts w:ascii="Calibri" w:hAnsi="Calibri"/>
                <w:b/>
                <w:i w:val="0"/>
                <w:color w:val="0B2545"/>
                <w:sz w:val="17"/>
              </w:rPr>
              <w:t>Authority</w:t>
            </w:r>
          </w:p>
        </w:tc>
      </w:tr>
      <w:tr>
        <w:trPr/>
        <w:tc>
          <w:tcPr>
            <w:tcW w:type="dxa" w:w="2740"/>
            <w:vAlign w:val="center"/>
            <w:tcMar>
              <w:top w:w="80" w:type="dxa"/>
              <w:bottom w:w="80" w:type="dxa"/>
              <w:start w:w="120" w:type="dxa"/>
              <w:end w:w="120" w:type="dxa"/>
            </w:tcMar>
          </w:tcPr>
          <w:p>
            <w:pPr>
              <w:spacing w:before="0" w:after="0" w:line="252" w:lineRule="auto"/>
              <w:jc w:val="left"/>
            </w:pPr>
            <w:r/>
            <w:r>
              <w:rPr>
                <w:rFonts w:ascii="Calibri" w:hAnsi="Calibri"/>
                <w:b w:val="0"/>
                <w:i w:val="0"/>
                <w:color w:val="000000"/>
                <w:sz w:val="17"/>
              </w:rPr>
              <w:t>brand_master.csv</w:t>
            </w:r>
          </w:p>
        </w:tc>
        <w:tc>
          <w:tcPr>
            <w:tcW w:type="dxa" w:w="3180"/>
            <w:vAlign w:val="center"/>
            <w:tcMar>
              <w:top w:w="80" w:type="dxa"/>
              <w:bottom w:w="80" w:type="dxa"/>
              <w:start w:w="120" w:type="dxa"/>
              <w:end w:w="120" w:type="dxa"/>
            </w:tcMar>
          </w:tcPr>
          <w:p>
            <w:pPr>
              <w:spacing w:before="0" w:after="0" w:line="252" w:lineRule="auto"/>
              <w:jc w:val="left"/>
            </w:pPr>
            <w:r/>
            <w:r>
              <w:rPr>
                <w:rFonts w:ascii="Calibri" w:hAnsi="Calibri"/>
                <w:b w:val="0"/>
                <w:i w:val="0"/>
                <w:color w:val="000000"/>
                <w:sz w:val="17"/>
              </w:rPr>
              <w:t>Canonical brands, aliases and domains</w:t>
            </w:r>
          </w:p>
        </w:tc>
        <w:tc>
          <w:tcPr>
            <w:tcW w:type="dxa" w:w="3440"/>
            <w:vAlign w:val="center"/>
            <w:tcMar>
              <w:top w:w="80" w:type="dxa"/>
              <w:bottom w:w="80" w:type="dxa"/>
              <w:start w:w="120" w:type="dxa"/>
              <w:end w:w="120" w:type="dxa"/>
            </w:tcMar>
          </w:tcPr>
          <w:p>
            <w:pPr>
              <w:spacing w:before="0" w:after="0" w:line="252" w:lineRule="auto"/>
              <w:jc w:val="left"/>
            </w:pPr>
            <w:r/>
            <w:r>
              <w:rPr>
                <w:rFonts w:ascii="Calibri" w:hAnsi="Calibri"/>
                <w:b w:val="0"/>
                <w:i w:val="0"/>
                <w:color w:val="000000"/>
                <w:sz w:val="17"/>
              </w:rPr>
              <w:t>Authoritative for entity resolution</w:t>
            </w:r>
          </w:p>
        </w:tc>
      </w:tr>
      <w:tr>
        <w:trPr/>
        <w:tc>
          <w:tcPr>
            <w:tcW w:type="dxa" w:w="2740"/>
            <w:vAlign w:val="center"/>
            <w:tcMar>
              <w:top w:w="80" w:type="dxa"/>
              <w:bottom w:w="80" w:type="dxa"/>
              <w:start w:w="120" w:type="dxa"/>
              <w:end w:w="120" w:type="dxa"/>
            </w:tcMar>
          </w:tcPr>
          <w:p>
            <w:pPr>
              <w:spacing w:before="0" w:after="0" w:line="252" w:lineRule="auto"/>
              <w:jc w:val="left"/>
            </w:pPr>
            <w:r/>
            <w:r>
              <w:rPr>
                <w:rFonts w:ascii="Calibri" w:hAnsi="Calibri"/>
                <w:b w:val="0"/>
                <w:i w:val="0"/>
                <w:color w:val="000000"/>
                <w:sz w:val="17"/>
              </w:rPr>
              <w:t>prompt_bank.csv</w:t>
            </w:r>
          </w:p>
        </w:tc>
        <w:tc>
          <w:tcPr>
            <w:tcW w:type="dxa" w:w="3180"/>
            <w:vAlign w:val="center"/>
            <w:tcMar>
              <w:top w:w="80" w:type="dxa"/>
              <w:bottom w:w="80" w:type="dxa"/>
              <w:start w:w="120" w:type="dxa"/>
              <w:end w:w="120" w:type="dxa"/>
            </w:tcMar>
          </w:tcPr>
          <w:p>
            <w:pPr>
              <w:spacing w:before="0" w:after="0" w:line="252" w:lineRule="auto"/>
              <w:jc w:val="left"/>
            </w:pPr>
            <w:r/>
            <w:r>
              <w:rPr>
                <w:rFonts w:ascii="Calibri" w:hAnsi="Calibri"/>
                <w:b w:val="0"/>
                <w:i w:val="0"/>
                <w:color w:val="000000"/>
                <w:sz w:val="17"/>
              </w:rPr>
              <w:t>Locked prompt taxonomy and cohort</w:t>
            </w:r>
          </w:p>
        </w:tc>
        <w:tc>
          <w:tcPr>
            <w:tcW w:type="dxa" w:w="3440"/>
            <w:vAlign w:val="center"/>
            <w:tcMar>
              <w:top w:w="80" w:type="dxa"/>
              <w:bottom w:w="80" w:type="dxa"/>
              <w:start w:w="120" w:type="dxa"/>
              <w:end w:w="120" w:type="dxa"/>
            </w:tcMar>
          </w:tcPr>
          <w:p>
            <w:pPr>
              <w:spacing w:before="0" w:after="0" w:line="252" w:lineRule="auto"/>
              <w:jc w:val="left"/>
            </w:pPr>
            <w:r/>
            <w:r>
              <w:rPr>
                <w:rFonts w:ascii="Calibri" w:hAnsi="Calibri"/>
                <w:b w:val="0"/>
                <w:i w:val="0"/>
                <w:color w:val="000000"/>
                <w:sz w:val="17"/>
              </w:rPr>
              <w:t>Authoritative for prompt classification</w:t>
            </w:r>
          </w:p>
        </w:tc>
      </w:tr>
      <w:tr>
        <w:trPr/>
        <w:tc>
          <w:tcPr>
            <w:tcW w:type="dxa" w:w="2740"/>
            <w:vAlign w:val="center"/>
            <w:tcMar>
              <w:top w:w="80" w:type="dxa"/>
              <w:bottom w:w="80" w:type="dxa"/>
              <w:start w:w="120" w:type="dxa"/>
              <w:end w:w="120" w:type="dxa"/>
            </w:tcMar>
          </w:tcPr>
          <w:p>
            <w:pPr>
              <w:spacing w:before="0" w:after="0" w:line="252" w:lineRule="auto"/>
              <w:jc w:val="left"/>
            </w:pPr>
            <w:r/>
            <w:r>
              <w:rPr>
                <w:rFonts w:ascii="Calibri" w:hAnsi="Calibri"/>
                <w:b w:val="0"/>
                <w:i w:val="0"/>
                <w:color w:val="000000"/>
                <w:sz w:val="17"/>
              </w:rPr>
              <w:t>month_1_runs.jsonl</w:t>
            </w:r>
          </w:p>
        </w:tc>
        <w:tc>
          <w:tcPr>
            <w:tcW w:type="dxa" w:w="3180"/>
            <w:vAlign w:val="center"/>
            <w:tcMar>
              <w:top w:w="80" w:type="dxa"/>
              <w:bottom w:w="80" w:type="dxa"/>
              <w:start w:w="120" w:type="dxa"/>
              <w:end w:w="120" w:type="dxa"/>
            </w:tcMar>
          </w:tcPr>
          <w:p>
            <w:pPr>
              <w:spacing w:before="0" w:after="0" w:line="252" w:lineRule="auto"/>
              <w:jc w:val="left"/>
            </w:pPr>
            <w:r/>
            <w:r>
              <w:rPr>
                <w:rFonts w:ascii="Calibri" w:hAnsi="Calibri"/>
                <w:b w:val="0"/>
                <w:i w:val="0"/>
                <w:color w:val="000000"/>
                <w:sz w:val="17"/>
              </w:rPr>
              <w:t>Raw Month 1 run records</w:t>
            </w:r>
          </w:p>
        </w:tc>
        <w:tc>
          <w:tcPr>
            <w:tcW w:type="dxa" w:w="3440"/>
            <w:vAlign w:val="center"/>
            <w:tcMar>
              <w:top w:w="80" w:type="dxa"/>
              <w:bottom w:w="80" w:type="dxa"/>
              <w:start w:w="120" w:type="dxa"/>
              <w:end w:w="120" w:type="dxa"/>
            </w:tcMar>
          </w:tcPr>
          <w:p>
            <w:pPr>
              <w:spacing w:before="0" w:after="0" w:line="252" w:lineRule="auto"/>
              <w:jc w:val="left"/>
            </w:pPr>
            <w:r/>
            <w:r>
              <w:rPr>
                <w:rFonts w:ascii="Calibri" w:hAnsi="Calibri"/>
                <w:b w:val="0"/>
                <w:i w:val="0"/>
                <w:color w:val="000000"/>
                <w:sz w:val="17"/>
              </w:rPr>
              <w:t>Latest ingestion per run_id</w:t>
            </w:r>
          </w:p>
        </w:tc>
      </w:tr>
      <w:tr>
        <w:trPr/>
        <w:tc>
          <w:tcPr>
            <w:tcW w:type="dxa" w:w="2740"/>
            <w:vAlign w:val="center"/>
            <w:tcMar>
              <w:top w:w="80" w:type="dxa"/>
              <w:bottom w:w="80" w:type="dxa"/>
              <w:start w:w="120" w:type="dxa"/>
              <w:end w:w="120" w:type="dxa"/>
            </w:tcMar>
          </w:tcPr>
          <w:p>
            <w:pPr>
              <w:spacing w:before="0" w:after="0" w:line="252" w:lineRule="auto"/>
              <w:jc w:val="left"/>
            </w:pPr>
            <w:r/>
            <w:r>
              <w:rPr>
                <w:rFonts w:ascii="Calibri" w:hAnsi="Calibri"/>
                <w:b w:val="0"/>
                <w:i w:val="0"/>
                <w:color w:val="000000"/>
                <w:sz w:val="17"/>
              </w:rPr>
              <w:t>month_2_runs.jsonl</w:t>
            </w:r>
          </w:p>
        </w:tc>
        <w:tc>
          <w:tcPr>
            <w:tcW w:type="dxa" w:w="3180"/>
            <w:vAlign w:val="center"/>
            <w:tcMar>
              <w:top w:w="80" w:type="dxa"/>
              <w:bottom w:w="80" w:type="dxa"/>
              <w:start w:w="120" w:type="dxa"/>
              <w:end w:w="120" w:type="dxa"/>
            </w:tcMar>
          </w:tcPr>
          <w:p>
            <w:pPr>
              <w:spacing w:before="0" w:after="0" w:line="252" w:lineRule="auto"/>
              <w:jc w:val="left"/>
            </w:pPr>
            <w:r/>
            <w:r>
              <w:rPr>
                <w:rFonts w:ascii="Calibri" w:hAnsi="Calibri"/>
                <w:b w:val="0"/>
                <w:i w:val="0"/>
                <w:color w:val="000000"/>
                <w:sz w:val="17"/>
              </w:rPr>
              <w:t>Raw Month 2 run records</w:t>
            </w:r>
          </w:p>
        </w:tc>
        <w:tc>
          <w:tcPr>
            <w:tcW w:type="dxa" w:w="3440"/>
            <w:vAlign w:val="center"/>
            <w:tcMar>
              <w:top w:w="80" w:type="dxa"/>
              <w:bottom w:w="80" w:type="dxa"/>
              <w:start w:w="120" w:type="dxa"/>
              <w:end w:w="120" w:type="dxa"/>
            </w:tcMar>
          </w:tcPr>
          <w:p>
            <w:pPr>
              <w:spacing w:before="0" w:after="0" w:line="252" w:lineRule="auto"/>
              <w:jc w:val="left"/>
            </w:pPr>
            <w:r/>
            <w:r>
              <w:rPr>
                <w:rFonts w:ascii="Calibri" w:hAnsi="Calibri"/>
                <w:b w:val="0"/>
                <w:i w:val="0"/>
                <w:color w:val="000000"/>
                <w:sz w:val="17"/>
              </w:rPr>
              <w:t>Latest ingestion per run_id</w:t>
            </w:r>
          </w:p>
        </w:tc>
      </w:tr>
      <w:tr>
        <w:trPr/>
        <w:tc>
          <w:tcPr>
            <w:tcW w:type="dxa" w:w="2740"/>
            <w:vAlign w:val="center"/>
            <w:tcMar>
              <w:top w:w="80" w:type="dxa"/>
              <w:bottom w:w="80" w:type="dxa"/>
              <w:start w:w="120" w:type="dxa"/>
              <w:end w:w="120" w:type="dxa"/>
            </w:tcMar>
          </w:tcPr>
          <w:p>
            <w:pPr>
              <w:spacing w:before="0" w:after="0" w:line="252" w:lineRule="auto"/>
              <w:jc w:val="left"/>
            </w:pPr>
            <w:r/>
            <w:r>
              <w:rPr>
                <w:rFonts w:ascii="Calibri" w:hAnsi="Calibri"/>
                <w:b w:val="0"/>
                <w:i w:val="0"/>
                <w:color w:val="000000"/>
                <w:sz w:val="17"/>
              </w:rPr>
              <w:t>coded_brand_outcomes.csv</w:t>
            </w:r>
          </w:p>
        </w:tc>
        <w:tc>
          <w:tcPr>
            <w:tcW w:type="dxa" w:w="3180"/>
            <w:vAlign w:val="center"/>
            <w:tcMar>
              <w:top w:w="80" w:type="dxa"/>
              <w:bottom w:w="80" w:type="dxa"/>
              <w:start w:w="120" w:type="dxa"/>
              <w:end w:w="120" w:type="dxa"/>
            </w:tcMar>
          </w:tcPr>
          <w:p>
            <w:pPr>
              <w:spacing w:before="0" w:after="0" w:line="252" w:lineRule="auto"/>
              <w:jc w:val="left"/>
            </w:pPr>
            <w:r/>
            <w:r>
              <w:rPr>
                <w:rFonts w:ascii="Calibri" w:hAnsi="Calibri"/>
                <w:b w:val="0"/>
                <w:i w:val="0"/>
                <w:color w:val="000000"/>
                <w:sz w:val="17"/>
              </w:rPr>
              <w:t>Brand-level coding</w:t>
            </w:r>
          </w:p>
        </w:tc>
        <w:tc>
          <w:tcPr>
            <w:tcW w:type="dxa" w:w="3440"/>
            <w:vAlign w:val="center"/>
            <w:tcMar>
              <w:top w:w="80" w:type="dxa"/>
              <w:bottom w:w="80" w:type="dxa"/>
              <w:start w:w="120" w:type="dxa"/>
              <w:end w:w="120" w:type="dxa"/>
            </w:tcMar>
          </w:tcPr>
          <w:p>
            <w:pPr>
              <w:spacing w:before="0" w:after="0" w:line="252" w:lineRule="auto"/>
              <w:jc w:val="left"/>
            </w:pPr>
            <w:r/>
            <w:r>
              <w:rPr>
                <w:rFonts w:ascii="Calibri" w:hAnsi="Calibri"/>
                <w:b w:val="0"/>
                <w:i w:val="0"/>
                <w:color w:val="000000"/>
                <w:sz w:val="17"/>
              </w:rPr>
              <w:t>Latest coding per run and canonical brand</w:t>
            </w:r>
          </w:p>
        </w:tc>
      </w:tr>
      <w:tr>
        <w:trPr/>
        <w:tc>
          <w:tcPr>
            <w:tcW w:type="dxa" w:w="2740"/>
            <w:vAlign w:val="center"/>
            <w:tcMar>
              <w:top w:w="80" w:type="dxa"/>
              <w:bottom w:w="80" w:type="dxa"/>
              <w:start w:w="120" w:type="dxa"/>
              <w:end w:w="120" w:type="dxa"/>
            </w:tcMar>
          </w:tcPr>
          <w:p>
            <w:pPr>
              <w:spacing w:before="0" w:after="0" w:line="252" w:lineRule="auto"/>
              <w:jc w:val="left"/>
            </w:pPr>
            <w:r/>
            <w:r>
              <w:rPr>
                <w:rFonts w:ascii="Calibri" w:hAnsi="Calibri"/>
                <w:b w:val="0"/>
                <w:i w:val="0"/>
                <w:color w:val="000000"/>
                <w:sz w:val="17"/>
              </w:rPr>
              <w:t>citations.csv</w:t>
            </w:r>
          </w:p>
        </w:tc>
        <w:tc>
          <w:tcPr>
            <w:tcW w:type="dxa" w:w="3180"/>
            <w:vAlign w:val="center"/>
            <w:tcMar>
              <w:top w:w="80" w:type="dxa"/>
              <w:bottom w:w="80" w:type="dxa"/>
              <w:start w:w="120" w:type="dxa"/>
              <w:end w:w="120" w:type="dxa"/>
            </w:tcMar>
          </w:tcPr>
          <w:p>
            <w:pPr>
              <w:spacing w:before="0" w:after="0" w:line="252" w:lineRule="auto"/>
              <w:jc w:val="left"/>
            </w:pPr>
            <w:r/>
            <w:r>
              <w:rPr>
                <w:rFonts w:ascii="Calibri" w:hAnsi="Calibri"/>
                <w:b w:val="0"/>
                <w:i w:val="0"/>
                <w:color w:val="000000"/>
                <w:sz w:val="17"/>
              </w:rPr>
              <w:t>Run-level citation ledger</w:t>
            </w:r>
          </w:p>
        </w:tc>
        <w:tc>
          <w:tcPr>
            <w:tcW w:type="dxa" w:w="3440"/>
            <w:vAlign w:val="center"/>
            <w:tcMar>
              <w:top w:w="80" w:type="dxa"/>
              <w:bottom w:w="80" w:type="dxa"/>
              <w:start w:w="120" w:type="dxa"/>
              <w:end w:w="120" w:type="dxa"/>
            </w:tcMar>
          </w:tcPr>
          <w:p>
            <w:pPr>
              <w:spacing w:before="0" w:after="0" w:line="252" w:lineRule="auto"/>
              <w:jc w:val="left"/>
            </w:pPr>
            <w:r/>
            <w:r>
              <w:rPr>
                <w:rFonts w:ascii="Calibri" w:hAnsi="Calibri"/>
                <w:b w:val="0"/>
                <w:i w:val="0"/>
                <w:color w:val="000000"/>
                <w:sz w:val="17"/>
              </w:rPr>
              <w:t>Canonical URL after cleaning</w:t>
            </w:r>
          </w:p>
        </w:tc>
      </w:tr>
      <w:tr>
        <w:trPr/>
        <w:tc>
          <w:tcPr>
            <w:tcW w:type="dxa" w:w="2740"/>
            <w:vAlign w:val="center"/>
            <w:tcMar>
              <w:top w:w="80" w:type="dxa"/>
              <w:bottom w:w="80" w:type="dxa"/>
              <w:start w:w="120" w:type="dxa"/>
              <w:end w:w="120" w:type="dxa"/>
            </w:tcMar>
          </w:tcPr>
          <w:p>
            <w:pPr>
              <w:spacing w:before="0" w:after="0" w:line="252" w:lineRule="auto"/>
              <w:jc w:val="left"/>
            </w:pPr>
            <w:r/>
            <w:r>
              <w:rPr>
                <w:rFonts w:ascii="Calibri" w:hAnsi="Calibri"/>
                <w:b w:val="0"/>
                <w:i w:val="0"/>
                <w:color w:val="000000"/>
                <w:sz w:val="17"/>
              </w:rPr>
              <w:t>fix_deployment_log.csv</w:t>
            </w:r>
          </w:p>
        </w:tc>
        <w:tc>
          <w:tcPr>
            <w:tcW w:type="dxa" w:w="3180"/>
            <w:vAlign w:val="center"/>
            <w:tcMar>
              <w:top w:w="80" w:type="dxa"/>
              <w:bottom w:w="80" w:type="dxa"/>
              <w:start w:w="120" w:type="dxa"/>
              <w:end w:w="120" w:type="dxa"/>
            </w:tcMar>
          </w:tcPr>
          <w:p>
            <w:pPr>
              <w:spacing w:before="0" w:after="0" w:line="252" w:lineRule="auto"/>
              <w:jc w:val="left"/>
            </w:pPr>
            <w:r/>
            <w:r>
              <w:rPr>
                <w:rFonts w:ascii="Calibri" w:hAnsi="Calibri"/>
                <w:b w:val="0"/>
                <w:i w:val="0"/>
                <w:color w:val="000000"/>
                <w:sz w:val="17"/>
              </w:rPr>
              <w:t>Fix timing and intended metrics</w:t>
            </w:r>
          </w:p>
        </w:tc>
        <w:tc>
          <w:tcPr>
            <w:tcW w:type="dxa" w:w="3440"/>
            <w:vAlign w:val="center"/>
            <w:tcMar>
              <w:top w:w="80" w:type="dxa"/>
              <w:bottom w:w="80" w:type="dxa"/>
              <w:start w:w="120" w:type="dxa"/>
              <w:end w:w="120" w:type="dxa"/>
            </w:tcMar>
          </w:tcPr>
          <w:p>
            <w:pPr>
              <w:spacing w:before="0" w:after="0" w:line="252" w:lineRule="auto"/>
              <w:jc w:val="left"/>
            </w:pPr>
            <w:r/>
            <w:r>
              <w:rPr>
                <w:rFonts w:ascii="Calibri" w:hAnsi="Calibri"/>
                <w:b w:val="0"/>
                <w:i w:val="0"/>
                <w:color w:val="000000"/>
                <w:sz w:val="17"/>
              </w:rPr>
              <w:t>Authoritative for timing; not proof of impact</w:t>
            </w:r>
          </w:p>
        </w:tc>
      </w:tr>
      <w:tr>
        <w:trPr/>
        <w:tc>
          <w:tcPr>
            <w:tcW w:type="dxa" w:w="2740"/>
            <w:vAlign w:val="center"/>
            <w:tcMar>
              <w:top w:w="80" w:type="dxa"/>
              <w:bottom w:w="80" w:type="dxa"/>
              <w:start w:w="120" w:type="dxa"/>
              <w:end w:w="120" w:type="dxa"/>
            </w:tcMar>
          </w:tcPr>
          <w:p>
            <w:pPr>
              <w:spacing w:before="0" w:after="0" w:line="252" w:lineRule="auto"/>
              <w:jc w:val="left"/>
            </w:pPr>
            <w:r/>
            <w:r>
              <w:rPr>
                <w:rFonts w:ascii="Calibri" w:hAnsi="Calibri"/>
                <w:b w:val="0"/>
                <w:i w:val="0"/>
                <w:color w:val="000000"/>
                <w:sz w:val="17"/>
              </w:rPr>
              <w:t>supporting_analytics.sqlite</w:t>
            </w:r>
          </w:p>
        </w:tc>
        <w:tc>
          <w:tcPr>
            <w:tcW w:type="dxa" w:w="3180"/>
            <w:vAlign w:val="center"/>
            <w:tcMar>
              <w:top w:w="80" w:type="dxa"/>
              <w:bottom w:w="80" w:type="dxa"/>
              <w:start w:w="120" w:type="dxa"/>
              <w:end w:w="120" w:type="dxa"/>
            </w:tcMar>
          </w:tcPr>
          <w:p>
            <w:pPr>
              <w:spacing w:before="0" w:after="0" w:line="252" w:lineRule="auto"/>
              <w:jc w:val="left"/>
            </w:pPr>
            <w:r/>
            <w:r>
              <w:rPr>
                <w:rFonts w:ascii="Calibri" w:hAnsi="Calibri"/>
                <w:b w:val="0"/>
                <w:i w:val="0"/>
                <w:color w:val="000000"/>
                <w:sz w:val="17"/>
              </w:rPr>
              <w:t>GSC- and GA4-style context tables</w:t>
            </w:r>
          </w:p>
        </w:tc>
        <w:tc>
          <w:tcPr>
            <w:tcW w:type="dxa" w:w="3440"/>
            <w:vAlign w:val="center"/>
            <w:tcMar>
              <w:top w:w="80" w:type="dxa"/>
              <w:bottom w:w="80" w:type="dxa"/>
              <w:start w:w="120" w:type="dxa"/>
              <w:end w:w="120" w:type="dxa"/>
            </w:tcMar>
          </w:tcPr>
          <w:p>
            <w:pPr>
              <w:spacing w:before="0" w:after="0" w:line="252" w:lineRule="auto"/>
              <w:jc w:val="left"/>
            </w:pPr>
            <w:r/>
            <w:r>
              <w:rPr>
                <w:rFonts w:ascii="Calibri" w:hAnsi="Calibri"/>
                <w:b w:val="0"/>
                <w:i w:val="0"/>
                <w:color w:val="000000"/>
                <w:sz w:val="17"/>
              </w:rPr>
              <w:t>Directional supporting evidence</w:t>
            </w:r>
          </w:p>
        </w:tc>
      </w:tr>
      <w:tr>
        <w:trPr/>
        <w:tc>
          <w:tcPr>
            <w:tcW w:type="dxa" w:w="2740"/>
            <w:vAlign w:val="center"/>
            <w:tcMar>
              <w:top w:w="80" w:type="dxa"/>
              <w:bottom w:w="80" w:type="dxa"/>
              <w:start w:w="120" w:type="dxa"/>
              <w:end w:w="120" w:type="dxa"/>
            </w:tcMar>
          </w:tcPr>
          <w:p>
            <w:pPr>
              <w:spacing w:before="0" w:after="0" w:line="252" w:lineRule="auto"/>
              <w:jc w:val="left"/>
            </w:pPr>
            <w:r/>
            <w:r>
              <w:rPr>
                <w:rFonts w:ascii="Calibri" w:hAnsi="Calibri"/>
                <w:b w:val="0"/>
                <w:i w:val="0"/>
                <w:color w:val="000000"/>
                <w:sz w:val="17"/>
              </w:rPr>
              <w:t>Data_Dictionary_Metric_Specification.xlsx</w:t>
            </w:r>
          </w:p>
        </w:tc>
        <w:tc>
          <w:tcPr>
            <w:tcW w:type="dxa" w:w="3180"/>
            <w:vAlign w:val="center"/>
            <w:tcMar>
              <w:top w:w="80" w:type="dxa"/>
              <w:bottom w:w="80" w:type="dxa"/>
              <w:start w:w="120" w:type="dxa"/>
              <w:end w:w="120" w:type="dxa"/>
            </w:tcMar>
          </w:tcPr>
          <w:p>
            <w:pPr>
              <w:spacing w:before="0" w:after="0" w:line="252" w:lineRule="auto"/>
              <w:jc w:val="left"/>
            </w:pPr>
            <w:r/>
            <w:r>
              <w:rPr>
                <w:rFonts w:ascii="Calibri" w:hAnsi="Calibri"/>
                <w:b w:val="0"/>
                <w:i w:val="0"/>
                <w:color w:val="000000"/>
                <w:sz w:val="17"/>
              </w:rPr>
              <w:t>Field, metric and output rules</w:t>
            </w:r>
          </w:p>
        </w:tc>
        <w:tc>
          <w:tcPr>
            <w:tcW w:type="dxa" w:w="3440"/>
            <w:vAlign w:val="center"/>
            <w:tcMar>
              <w:top w:w="80" w:type="dxa"/>
              <w:bottom w:w="80" w:type="dxa"/>
              <w:start w:w="120" w:type="dxa"/>
              <w:end w:w="120" w:type="dxa"/>
            </w:tcMar>
          </w:tcPr>
          <w:p>
            <w:pPr>
              <w:spacing w:before="0" w:after="0" w:line="252" w:lineRule="auto"/>
              <w:jc w:val="left"/>
            </w:pPr>
            <w:r/>
            <w:r>
              <w:rPr>
                <w:rFonts w:ascii="Calibri" w:hAnsi="Calibri"/>
                <w:b w:val="0"/>
                <w:i w:val="0"/>
                <w:color w:val="000000"/>
                <w:sz w:val="17"/>
              </w:rPr>
              <w:t>Authoritative specification</w:t>
            </w:r>
          </w:p>
        </w:tc>
      </w:tr>
    </w:tbl>
    <w:p>
      <w:pPr>
        <w:spacing w:after="20"/>
      </w:pPr>
    </w:p>
    <w:p>
      <w:pPr>
        <w:pStyle w:val="Heading1"/>
      </w:pPr>
      <w:r>
        <w:t>5. Deterministic processing rules</w:t>
      </w:r>
    </w:p>
    <w:p>
      <w:r>
        <w:t>Follow these rules exactly. You may identify additional QA concerns, but do not silently replace the supplied metric framework or invent alternative inclusion rules.</w:t>
      </w:r>
    </w:p>
    <w:p>
      <w:pPr>
        <w:pStyle w:val="Heading2"/>
      </w:pPr>
      <w:r>
        <w:t>5.1 Run eligibility</w:t>
      </w:r>
    </w:p>
    <w:p>
      <w:pPr>
        <w:pStyle w:val="ListBullet"/>
      </w:pPr>
      <w:r>
        <w:t>Deduplicate run records by run_id and retain the row with the latest valid ingested_at.</w:t>
      </w:r>
    </w:p>
    <w:p>
      <w:pPr>
        <w:pStyle w:val="ListBullet"/>
      </w:pPr>
      <w:r>
        <w:t>Include only prompt IDs marked as locked core prompts in prompt_bank.csv.</w:t>
      </w:r>
    </w:p>
    <w:p>
      <w:pPr>
        <w:pStyle w:val="ListBullet"/>
      </w:pPr>
      <w:r>
        <w:t>Include only ChatAssist, SearchAI and AnswerMind, with replicates 1 and 2.</w:t>
      </w:r>
    </w:p>
    <w:p>
      <w:pPr>
        <w:pStyle w:val="ListBullet"/>
      </w:pPr>
      <w:r>
        <w:t>Include only run_status = success.</w:t>
      </w:r>
    </w:p>
    <w:p>
      <w:pPr>
        <w:pStyle w:val="ListBullet"/>
      </w:pPr>
      <w:r>
        <w:t>A run must contain exactly one latest coded outcome for each of the five canonical brands.</w:t>
      </w:r>
    </w:p>
    <w:p>
      <w:pPr>
        <w:pStyle w:val="ListBullet"/>
      </w:pPr>
      <w:r>
        <w:t>If any brand outcome in a run fails the structural rules below, exclude the entire run from every audit metric.</w:t>
      </w:r>
    </w:p>
    <w:p>
      <w:pPr>
        <w:pStyle w:val="ListBullet"/>
      </w:pPr>
      <w:r>
        <w:t>If the raw response's AsterVale alias presence disagrees with AsterVale's mentioned code, exclude the entire run.</w:t>
      </w:r>
    </w:p>
    <w:p>
      <w:pPr>
        <w:pStyle w:val="Heading2"/>
      </w:pPr>
      <w:r>
        <w:t>5.2 Outcome rules</w:t>
      </w:r>
    </w:p>
    <w:p>
      <w:pPr>
        <w:pStyle w:val="ListBullet"/>
      </w:pPr>
      <w:r>
        <w:t>Resolve brands using brand_id first and then the normalized alias list in brand_master.csv.</w:t>
      </w:r>
    </w:p>
    <w:p>
      <w:pPr>
        <w:pStyle w:val="ListBullet"/>
      </w:pPr>
      <w:r>
        <w:t>Accepted true values are true, yes and 1; accepted false values are false, no and 0, case-insensitive.</w:t>
      </w:r>
    </w:p>
    <w:p>
      <w:pPr>
        <w:pStyle w:val="ListBullet"/>
      </w:pPr>
      <w:r>
        <w:t>Parse integer, decimal and ordinal rank representations into integers 1-5.</w:t>
      </w:r>
    </w:p>
    <w:p>
      <w:pPr>
        <w:pStyle w:val="ListBullet"/>
      </w:pPr>
      <w:r>
        <w:t>top_choice implies recommended; recommended implies shortlisted; shortlisted implies mentioned.</w:t>
      </w:r>
    </w:p>
    <w:p>
      <w:pPr>
        <w:pStyle w:val="ListBullet"/>
      </w:pPr>
      <w:r>
        <w:t>An unmentioned brand cannot have a rank or any positive outcome flag.</w:t>
      </w:r>
    </w:p>
    <w:p>
      <w:pPr>
        <w:pStyle w:val="ListBullet"/>
      </w:pPr>
      <w:r>
        <w:t>Every mentioned brand requires one unique rank from 1 to 5 within the run.</w:t>
      </w:r>
    </w:p>
    <w:p>
      <w:pPr>
        <w:pStyle w:val="ListBullet"/>
      </w:pPr>
      <w:r>
        <w:t>Use prompt_bank.csv for prompt family and brand mode; ignore prompt_family_reported for analysis.</w:t>
      </w:r>
    </w:p>
    <w:p>
      <w:pPr>
        <w:pStyle w:val="Heading2"/>
      </w:pPr>
      <w:r>
        <w:t>5.3 Citation rules</w:t>
      </w:r>
    </w:p>
    <w:p>
      <w:pPr>
        <w:pStyle w:val="ListBullet"/>
      </w:pPr>
      <w:r>
        <w:t>Accept only HTTP and HTTPS URLs with a host.</w:t>
      </w:r>
    </w:p>
    <w:p>
      <w:pPr>
        <w:pStyle w:val="ListBullet"/>
      </w:pPr>
      <w:r>
        <w:t>Lowercase scheme and host; remove a leading www.; remove fragments.</w:t>
      </w:r>
    </w:p>
    <w:p>
      <w:pPr>
        <w:pStyle w:val="ListBullet"/>
      </w:pPr>
      <w:r>
        <w:t>Collapse repeated path slashes and remove trailing slash except at the domain root.</w:t>
      </w:r>
    </w:p>
    <w:p>
      <w:pPr>
        <w:pStyle w:val="ListBullet"/>
      </w:pPr>
      <w:r>
        <w:t>Drop utm_* parameters plus gclid and fbclid; retain and alphabetically sort other query parameters.</w:t>
      </w:r>
    </w:p>
    <w:p>
      <w:pPr>
        <w:pStyle w:val="ListBullet"/>
      </w:pPr>
      <w:r>
        <w:t>Deduplicate by run_id, canonical cited brand and canonical URL.</w:t>
      </w:r>
    </w:p>
    <w:p>
      <w:pPr>
        <w:pStyle w:val="ListBullet"/>
      </w:pPr>
      <w:r>
        <w:t>Determine owned citation status from the canonical URL domain in brand_master.csv, not source_type_reported.</w:t>
      </w:r>
    </w:p>
    <w:p>
      <w:pPr>
        <w:pStyle w:val="Heading2"/>
      </w:pPr>
      <w:r>
        <w:t>5.4 Matched cohort</w:t>
      </w:r>
    </w:p>
    <w:p>
      <w:r>
        <w:t>Create the matched core from prompt_id + platform + replicate cells that are analytically eligible in both months. Use this matched cohort for the primary Month 1 versus Month 2 movement claim. Do not impute missing or excluded cells.</w:t>
      </w:r>
    </w:p>
    <w:p>
      <w:r>
        <w:br w:type="page"/>
      </w:r>
    </w:p>
    <w:p>
      <w:pPr>
        <w:pStyle w:val="Heading1"/>
      </w:pPr>
      <w:r>
        <w:t>6. Metric framework</w:t>
      </w:r>
    </w:p>
    <w:p>
      <w:r>
        <w:t>Report all scores on a 0-100 scale and round final outputs to four decimal places.</w:t>
      </w:r>
    </w:p>
    <w:tbl>
      <w:tblPr>
        <w:tblStyle w:val="TableGrid"/>
        <w:tblW w:type="dxa" w:w="9360"/>
        <w:jc w:val="left"/>
        <w:tblLayout w:type="fixed"/>
        <w:tblLook w:firstColumn="1" w:firstRow="1" w:lastColumn="0" w:lastRow="0" w:noHBand="0" w:noVBand="1" w:val="04A0"/>
        <w:tblInd w:type="dxa" w:w="120"/>
      </w:tblPr>
      <w:tblGrid>
        <w:gridCol w:w="2500"/>
        <w:gridCol w:w="6860"/>
      </w:tblGrid>
      <w:tr>
        <w:trPr>
          <w:tblHeader w:val="true"/>
        </w:trPr>
        <w:tc>
          <w:tcPr>
            <w:tcW w:type="dxa" w:w="2500"/>
            <w:shd w:fill="F2F4F7"/>
            <w:vAlign w:val="center"/>
            <w:tcMar>
              <w:top w:w="80" w:type="dxa"/>
              <w:bottom w:w="80" w:type="dxa"/>
              <w:start w:w="120" w:type="dxa"/>
              <w:end w:w="120" w:type="dxa"/>
            </w:tcMar>
          </w:tcPr>
          <w:p>
            <w:pPr>
              <w:spacing w:before="0" w:after="0" w:line="252" w:lineRule="auto"/>
              <w:jc w:val="left"/>
            </w:pPr>
            <w:r/>
            <w:r>
              <w:rPr>
                <w:rFonts w:ascii="Calibri" w:hAnsi="Calibri"/>
                <w:b/>
                <w:i w:val="0"/>
                <w:color w:val="0B2545"/>
                <w:sz w:val="17"/>
              </w:rPr>
              <w:t>Metric</w:t>
            </w:r>
          </w:p>
        </w:tc>
        <w:tc>
          <w:tcPr>
            <w:tcW w:type="dxa" w:w="6860"/>
            <w:shd w:fill="F2F4F7"/>
            <w:vAlign w:val="center"/>
            <w:tcMar>
              <w:top w:w="80" w:type="dxa"/>
              <w:bottom w:w="80" w:type="dxa"/>
              <w:start w:w="120" w:type="dxa"/>
              <w:end w:w="120" w:type="dxa"/>
            </w:tcMar>
          </w:tcPr>
          <w:p>
            <w:pPr>
              <w:spacing w:before="0" w:after="0" w:line="252" w:lineRule="auto"/>
              <w:jc w:val="left"/>
            </w:pPr>
            <w:r/>
            <w:r>
              <w:rPr>
                <w:rFonts w:ascii="Calibri" w:hAnsi="Calibri"/>
                <w:b/>
                <w:i w:val="0"/>
                <w:color w:val="0B2545"/>
                <w:sz w:val="17"/>
              </w:rPr>
              <w:t>Definition</w:t>
            </w:r>
          </w:p>
        </w:tc>
      </w:tr>
      <w:tr>
        <w:trPr/>
        <w:tc>
          <w:tcPr>
            <w:tcW w:type="dxa" w:w="2500"/>
            <w:vAlign w:val="center"/>
            <w:tcMar>
              <w:top w:w="80" w:type="dxa"/>
              <w:bottom w:w="80" w:type="dxa"/>
              <w:start w:w="120" w:type="dxa"/>
              <w:end w:w="120" w:type="dxa"/>
            </w:tcMar>
          </w:tcPr>
          <w:p>
            <w:pPr>
              <w:spacing w:before="0" w:after="0" w:line="252" w:lineRule="auto"/>
              <w:jc w:val="left"/>
            </w:pPr>
            <w:r/>
            <w:r>
              <w:rPr>
                <w:rFonts w:ascii="Calibri" w:hAnsi="Calibri"/>
                <w:b w:val="0"/>
                <w:i w:val="0"/>
                <w:color w:val="000000"/>
                <w:sz w:val="17"/>
              </w:rPr>
              <w:t>Category Presence</w:t>
            </w:r>
          </w:p>
        </w:tc>
        <w:tc>
          <w:tcPr>
            <w:tcW w:type="dxa" w:w="6860"/>
            <w:vAlign w:val="center"/>
            <w:tcMar>
              <w:top w:w="80" w:type="dxa"/>
              <w:bottom w:w="80" w:type="dxa"/>
              <w:start w:w="120" w:type="dxa"/>
              <w:end w:w="120" w:type="dxa"/>
            </w:tcMar>
          </w:tcPr>
          <w:p>
            <w:pPr>
              <w:spacing w:before="0" w:after="0" w:line="252" w:lineRule="auto"/>
              <w:jc w:val="left"/>
            </w:pPr>
            <w:r/>
            <w:r>
              <w:rPr>
                <w:rFonts w:ascii="Calibri" w:hAnsi="Calibri"/>
                <w:b w:val="0"/>
                <w:i w:val="0"/>
                <w:color w:val="000000"/>
                <w:sz w:val="17"/>
              </w:rPr>
              <w:t>Non-branded eligible runs where AsterVale is mentioned / eligible non-branded runs.</w:t>
            </w:r>
          </w:p>
        </w:tc>
      </w:tr>
      <w:tr>
        <w:trPr/>
        <w:tc>
          <w:tcPr>
            <w:tcW w:type="dxa" w:w="2500"/>
            <w:vAlign w:val="center"/>
            <w:tcMar>
              <w:top w:w="80" w:type="dxa"/>
              <w:bottom w:w="80" w:type="dxa"/>
              <w:start w:w="120" w:type="dxa"/>
              <w:end w:w="120" w:type="dxa"/>
            </w:tcMar>
          </w:tcPr>
          <w:p>
            <w:pPr>
              <w:spacing w:before="0" w:after="0" w:line="252" w:lineRule="auto"/>
              <w:jc w:val="left"/>
            </w:pPr>
            <w:r/>
            <w:r>
              <w:rPr>
                <w:rFonts w:ascii="Calibri" w:hAnsi="Calibri"/>
                <w:b w:val="0"/>
                <w:i w:val="0"/>
                <w:color w:val="000000"/>
                <w:sz w:val="17"/>
              </w:rPr>
              <w:t>AI Share of Voice</w:t>
            </w:r>
          </w:p>
        </w:tc>
        <w:tc>
          <w:tcPr>
            <w:tcW w:type="dxa" w:w="6860"/>
            <w:vAlign w:val="center"/>
            <w:tcMar>
              <w:top w:w="80" w:type="dxa"/>
              <w:bottom w:w="80" w:type="dxa"/>
              <w:start w:w="120" w:type="dxa"/>
              <w:end w:w="120" w:type="dxa"/>
            </w:tcMar>
          </w:tcPr>
          <w:p>
            <w:pPr>
              <w:spacing w:before="0" w:after="0" w:line="252" w:lineRule="auto"/>
              <w:jc w:val="left"/>
            </w:pPr>
            <w:r/>
            <w:r>
              <w:rPr>
                <w:rFonts w:ascii="Calibri" w:hAnsi="Calibri"/>
                <w:b w:val="0"/>
                <w:i w:val="0"/>
                <w:color w:val="000000"/>
                <w:sz w:val="17"/>
              </w:rPr>
              <w:t>AsterVale visibility credits / visibility credits for all five brands on non-branded runs. Per brand: mentioned + shortlisted + recommended + top_choice; a discouraged brand receives zero credits.</w:t>
            </w:r>
          </w:p>
        </w:tc>
      </w:tr>
      <w:tr>
        <w:trPr/>
        <w:tc>
          <w:tcPr>
            <w:tcW w:type="dxa" w:w="2500"/>
            <w:vAlign w:val="center"/>
            <w:tcMar>
              <w:top w:w="80" w:type="dxa"/>
              <w:bottom w:w="80" w:type="dxa"/>
              <w:start w:w="120" w:type="dxa"/>
              <w:end w:w="120" w:type="dxa"/>
            </w:tcMar>
          </w:tcPr>
          <w:p>
            <w:pPr>
              <w:spacing w:before="0" w:after="0" w:line="252" w:lineRule="auto"/>
              <w:jc w:val="left"/>
            </w:pPr>
            <w:r/>
            <w:r>
              <w:rPr>
                <w:rFonts w:ascii="Calibri" w:hAnsi="Calibri"/>
                <w:b w:val="0"/>
                <w:i w:val="0"/>
                <w:color w:val="000000"/>
                <w:sz w:val="17"/>
              </w:rPr>
              <w:t>Comparison Standing</w:t>
            </w:r>
          </w:p>
        </w:tc>
        <w:tc>
          <w:tcPr>
            <w:tcW w:type="dxa" w:w="6860"/>
            <w:vAlign w:val="center"/>
            <w:tcMar>
              <w:top w:w="80" w:type="dxa"/>
              <w:bottom w:w="80" w:type="dxa"/>
              <w:start w:w="120" w:type="dxa"/>
              <w:end w:w="120" w:type="dxa"/>
            </w:tcMar>
          </w:tcPr>
          <w:p>
            <w:pPr>
              <w:spacing w:before="0" w:after="0" w:line="252" w:lineRule="auto"/>
              <w:jc w:val="left"/>
            </w:pPr>
            <w:r/>
            <w:r>
              <w:rPr>
                <w:rFonts w:ascii="Calibri" w:hAnsi="Calibri"/>
                <w:b w:val="0"/>
                <w:i w:val="0"/>
                <w:color w:val="000000"/>
                <w:sz w:val="17"/>
              </w:rPr>
              <w:t>Mean AsterVale rank score on comparison-eligible non-branded runs. Rank scores: 1=100, 2=75, 3=50, 4=25, 5 or unmentioned=0.</w:t>
            </w:r>
          </w:p>
        </w:tc>
      </w:tr>
      <w:tr>
        <w:trPr/>
        <w:tc>
          <w:tcPr>
            <w:tcW w:type="dxa" w:w="2500"/>
            <w:vAlign w:val="center"/>
            <w:tcMar>
              <w:top w:w="80" w:type="dxa"/>
              <w:bottom w:w="80" w:type="dxa"/>
              <w:start w:w="120" w:type="dxa"/>
              <w:end w:w="120" w:type="dxa"/>
            </w:tcMar>
          </w:tcPr>
          <w:p>
            <w:pPr>
              <w:spacing w:before="0" w:after="0" w:line="252" w:lineRule="auto"/>
              <w:jc w:val="left"/>
            </w:pPr>
            <w:r/>
            <w:r>
              <w:rPr>
                <w:rFonts w:ascii="Calibri" w:hAnsi="Calibri"/>
                <w:b w:val="0"/>
                <w:i w:val="0"/>
                <w:color w:val="000000"/>
                <w:sz w:val="17"/>
              </w:rPr>
              <w:t>Owned Citation Rate</w:t>
            </w:r>
          </w:p>
        </w:tc>
        <w:tc>
          <w:tcPr>
            <w:tcW w:type="dxa" w:w="6860"/>
            <w:vAlign w:val="center"/>
            <w:tcMar>
              <w:top w:w="80" w:type="dxa"/>
              <w:bottom w:w="80" w:type="dxa"/>
              <w:start w:w="120" w:type="dxa"/>
              <w:end w:w="120" w:type="dxa"/>
            </w:tcMar>
          </w:tcPr>
          <w:p>
            <w:pPr>
              <w:spacing w:before="0" w:after="0" w:line="252" w:lineRule="auto"/>
              <w:jc w:val="left"/>
            </w:pPr>
            <w:r/>
            <w:r>
              <w:rPr>
                <w:rFonts w:ascii="Calibri" w:hAnsi="Calibri"/>
                <w:b w:val="0"/>
                <w:i w:val="0"/>
                <w:color w:val="000000"/>
                <w:sz w:val="17"/>
              </w:rPr>
              <w:t>Eligible AsterVale-mentioned runs with at least one AsterVale-owned canonical citation / eligible AsterVale-mentioned runs.</w:t>
            </w:r>
          </w:p>
        </w:tc>
      </w:tr>
      <w:tr>
        <w:trPr/>
        <w:tc>
          <w:tcPr>
            <w:tcW w:type="dxa" w:w="2500"/>
            <w:vAlign w:val="center"/>
            <w:tcMar>
              <w:top w:w="80" w:type="dxa"/>
              <w:bottom w:w="80" w:type="dxa"/>
              <w:start w:w="120" w:type="dxa"/>
              <w:end w:w="120" w:type="dxa"/>
            </w:tcMar>
          </w:tcPr>
          <w:p>
            <w:pPr>
              <w:spacing w:before="0" w:after="0" w:line="252" w:lineRule="auto"/>
              <w:jc w:val="left"/>
            </w:pPr>
            <w:r/>
            <w:r>
              <w:rPr>
                <w:rFonts w:ascii="Calibri" w:hAnsi="Calibri"/>
                <w:b w:val="0"/>
                <w:i w:val="0"/>
                <w:color w:val="000000"/>
                <w:sz w:val="17"/>
              </w:rPr>
              <w:t>Branded Presence Quality</w:t>
            </w:r>
          </w:p>
        </w:tc>
        <w:tc>
          <w:tcPr>
            <w:tcW w:type="dxa" w:w="6860"/>
            <w:vAlign w:val="center"/>
            <w:tcMar>
              <w:top w:w="80" w:type="dxa"/>
              <w:bottom w:w="80" w:type="dxa"/>
              <w:start w:w="120" w:type="dxa"/>
              <w:end w:w="120" w:type="dxa"/>
            </w:tcMar>
          </w:tcPr>
          <w:p>
            <w:pPr>
              <w:spacing w:before="0" w:after="0" w:line="252" w:lineRule="auto"/>
              <w:jc w:val="left"/>
            </w:pPr>
            <w:r/>
            <w:r>
              <w:rPr>
                <w:rFonts w:ascii="Calibri" w:hAnsi="Calibri"/>
                <w:b w:val="0"/>
                <w:i w:val="0"/>
                <w:color w:val="000000"/>
                <w:sz w:val="17"/>
              </w:rPr>
              <w:t>Mean run score: 40 factual_accuracy + 30 differentiation_present + 30 unhedged. An unmentioned AsterVale receives zero.</w:t>
            </w:r>
          </w:p>
        </w:tc>
      </w:tr>
      <w:tr>
        <w:trPr/>
        <w:tc>
          <w:tcPr>
            <w:tcW w:type="dxa" w:w="2500"/>
            <w:vAlign w:val="center"/>
            <w:tcMar>
              <w:top w:w="80" w:type="dxa"/>
              <w:bottom w:w="80" w:type="dxa"/>
              <w:start w:w="120" w:type="dxa"/>
              <w:end w:w="120" w:type="dxa"/>
            </w:tcMar>
          </w:tcPr>
          <w:p>
            <w:pPr>
              <w:spacing w:before="0" w:after="0" w:line="252" w:lineRule="auto"/>
              <w:jc w:val="left"/>
            </w:pPr>
            <w:r/>
            <w:r>
              <w:rPr>
                <w:rFonts w:ascii="Calibri" w:hAnsi="Calibri"/>
                <w:b w:val="0"/>
                <w:i w:val="0"/>
                <w:color w:val="000000"/>
                <w:sz w:val="17"/>
              </w:rPr>
              <w:t>Recommendation Rate</w:t>
            </w:r>
          </w:p>
        </w:tc>
        <w:tc>
          <w:tcPr>
            <w:tcW w:type="dxa" w:w="6860"/>
            <w:vAlign w:val="center"/>
            <w:tcMar>
              <w:top w:w="80" w:type="dxa"/>
              <w:bottom w:w="80" w:type="dxa"/>
              <w:start w:w="120" w:type="dxa"/>
              <w:end w:w="120" w:type="dxa"/>
            </w:tcMar>
          </w:tcPr>
          <w:p>
            <w:pPr>
              <w:spacing w:before="0" w:after="0" w:line="252" w:lineRule="auto"/>
              <w:jc w:val="left"/>
            </w:pPr>
            <w:r/>
            <w:r>
              <w:rPr>
                <w:rFonts w:ascii="Calibri" w:hAnsi="Calibri"/>
                <w:b w:val="0"/>
                <w:i w:val="0"/>
                <w:color w:val="000000"/>
                <w:sz w:val="17"/>
              </w:rPr>
              <w:t>Eligible runs where AsterVale is recommended / eligible runs in the stated cohort.</w:t>
            </w:r>
          </w:p>
        </w:tc>
      </w:tr>
      <w:tr>
        <w:trPr/>
        <w:tc>
          <w:tcPr>
            <w:tcW w:type="dxa" w:w="2500"/>
            <w:vAlign w:val="center"/>
            <w:tcMar>
              <w:top w:w="80" w:type="dxa"/>
              <w:bottom w:w="80" w:type="dxa"/>
              <w:start w:w="120" w:type="dxa"/>
              <w:end w:w="120" w:type="dxa"/>
            </w:tcMar>
          </w:tcPr>
          <w:p>
            <w:pPr>
              <w:spacing w:before="0" w:after="0" w:line="252" w:lineRule="auto"/>
              <w:jc w:val="left"/>
            </w:pPr>
            <w:r/>
            <w:r>
              <w:rPr>
                <w:rFonts w:ascii="Calibri" w:hAnsi="Calibri"/>
                <w:b w:val="0"/>
                <w:i w:val="0"/>
                <w:color w:val="000000"/>
                <w:sz w:val="17"/>
              </w:rPr>
              <w:t>Branded Prominence</w:t>
            </w:r>
          </w:p>
        </w:tc>
        <w:tc>
          <w:tcPr>
            <w:tcW w:type="dxa" w:w="6860"/>
            <w:vAlign w:val="center"/>
            <w:tcMar>
              <w:top w:w="80" w:type="dxa"/>
              <w:bottom w:w="80" w:type="dxa"/>
              <w:start w:w="120" w:type="dxa"/>
              <w:end w:w="120" w:type="dxa"/>
            </w:tcMar>
          </w:tcPr>
          <w:p>
            <w:pPr>
              <w:spacing w:before="0" w:after="0" w:line="252" w:lineRule="auto"/>
              <w:jc w:val="left"/>
            </w:pPr>
            <w:r/>
            <w:r>
              <w:rPr>
                <w:rFonts w:ascii="Calibri" w:hAnsi="Calibri"/>
                <w:b w:val="0"/>
                <w:i w:val="0"/>
                <w:color w:val="000000"/>
                <w:sz w:val="17"/>
              </w:rPr>
              <w:t>Mean AsterVale rank score on branded runs using the same rank scale.</w:t>
            </w:r>
          </w:p>
        </w:tc>
      </w:tr>
      <w:tr>
        <w:trPr/>
        <w:tc>
          <w:tcPr>
            <w:tcW w:type="dxa" w:w="2500"/>
            <w:vAlign w:val="center"/>
            <w:tcMar>
              <w:top w:w="80" w:type="dxa"/>
              <w:bottom w:w="80" w:type="dxa"/>
              <w:start w:w="120" w:type="dxa"/>
              <w:end w:w="120" w:type="dxa"/>
            </w:tcMar>
          </w:tcPr>
          <w:p>
            <w:pPr>
              <w:spacing w:before="0" w:after="0" w:line="252" w:lineRule="auto"/>
              <w:jc w:val="left"/>
            </w:pPr>
            <w:r/>
            <w:r>
              <w:rPr>
                <w:rFonts w:ascii="Calibri" w:hAnsi="Calibri"/>
                <w:b w:val="0"/>
                <w:i w:val="0"/>
                <w:color w:val="000000"/>
                <w:sz w:val="17"/>
              </w:rPr>
              <w:t>Third-party Citation Rate</w:t>
            </w:r>
          </w:p>
        </w:tc>
        <w:tc>
          <w:tcPr>
            <w:tcW w:type="dxa" w:w="6860"/>
            <w:vAlign w:val="center"/>
            <w:tcMar>
              <w:top w:w="80" w:type="dxa"/>
              <w:bottom w:w="80" w:type="dxa"/>
              <w:start w:w="120" w:type="dxa"/>
              <w:end w:w="120" w:type="dxa"/>
            </w:tcMar>
          </w:tcPr>
          <w:p>
            <w:pPr>
              <w:spacing w:before="0" w:after="0" w:line="252" w:lineRule="auto"/>
              <w:jc w:val="left"/>
            </w:pPr>
            <w:r/>
            <w:r>
              <w:rPr>
                <w:rFonts w:ascii="Calibri" w:hAnsi="Calibri"/>
                <w:b w:val="0"/>
                <w:i w:val="0"/>
                <w:color w:val="000000"/>
                <w:sz w:val="17"/>
              </w:rPr>
              <w:t>Eligible AsterVale-mentioned runs with at least one non-owned citation associated with AsterVale / eligible AsterVale-mentioned runs. Diagnostic only.</w:t>
            </w:r>
          </w:p>
        </w:tc>
      </w:tr>
    </w:tbl>
    <w:p>
      <w:pPr>
        <w:spacing w:after="20"/>
      </w:pPr>
    </w:p>
    <w:p>
      <w:pPr>
        <w:pStyle w:val="Heading2"/>
      </w:pPr>
      <w:r>
        <w:t>6.1 Composite scores</w:t>
      </w:r>
    </w:p>
    <w:p>
      <w:pPr>
        <w:pStyle w:val="ListBullet"/>
      </w:pPr>
      <w:r>
        <w:t>Non-Branded Discovery Score = 40% AI Share of Voice + 30% Category Presence + 20% Comparison Standing + 10% Non-Branded Owned Citation Rate.</w:t>
      </w:r>
    </w:p>
    <w:p>
      <w:pPr>
        <w:pStyle w:val="ListBullet"/>
      </w:pPr>
      <w:r>
        <w:t>Branded Performance Score = 30% Branded Presence Quality + 40% Branded Recommendation Rate + 20% Branded Prominence + 10% Branded Owned Citation Rate.</w:t>
      </w:r>
    </w:p>
    <w:p>
      <w:pPr>
        <w:pStyle w:val="ListBullet"/>
      </w:pPr>
      <w:r>
        <w:t>Final ASV Score = 60% Non-Branded Discovery Score + 40% Branded Performance Score.</w:t>
      </w:r>
    </w:p>
    <w:tbl>
      <w:tblPr>
        <w:tblW w:type="dxa" w:w="9360"/>
        <w:jc w:val="left"/>
        <w:tblLayout w:type="fixed"/>
        <w:tblLook w:firstColumn="1" w:firstRow="1" w:lastColumn="0" w:lastRow="0" w:noHBand="0" w:noVBand="1" w:val="04A0"/>
        <w:tblInd w:type="dxa" w:w="120"/>
      </w:tblPr>
      <w:tblGrid>
        <w:gridCol w:w="9360"/>
      </w:tblGrid>
      <w:tr>
        <w:trPr/>
        <w:tc>
          <w:tcPr>
            <w:tcW w:type="dxa" w:w="9360"/>
            <w:shd w:fill="F4F6F9"/>
            <w:tcMar>
              <w:top w:w="80" w:type="dxa"/>
              <w:bottom w:w="80" w:type="dxa"/>
              <w:start w:w="120" w:type="dxa"/>
              <w:end w:w="120" w:type="dxa"/>
            </w:tcMar>
          </w:tcPr>
          <w:p>
            <w:pPr>
              <w:spacing w:before="40" w:after="40"/>
            </w:pPr>
            <w:r/>
            <w:r>
              <w:rPr>
                <w:rFonts w:ascii="Calibri" w:hAnsi="Calibri"/>
                <w:b/>
                <w:i w:val="0"/>
                <w:color w:val="0B2545"/>
                <w:sz w:val="21"/>
              </w:rPr>
              <w:t xml:space="preserve">Do not redesign the score: </w:t>
            </w:r>
            <w:r>
              <w:rPr>
                <w:rFonts w:ascii="Calibri" w:hAnsi="Calibri"/>
                <w:b w:val="0"/>
                <w:i w:val="0"/>
                <w:color w:val="000000"/>
                <w:sz w:val="21"/>
              </w:rPr>
              <w:t>Implement the framework as supplied. In your memo, you may identify up to two methodological weaknesses, but your official outputs must use this specification.</w:t>
            </w:r>
          </w:p>
        </w:tc>
      </w:tr>
    </w:tbl>
    <w:p>
      <w:pPr>
        <w:spacing w:after="20"/>
      </w:pPr>
    </w:p>
    <w:p>
      <w:pPr>
        <w:pStyle w:val="Heading1"/>
      </w:pPr>
      <w:r>
        <w:t>7. Required analysis</w:t>
      </w:r>
    </w:p>
    <w:p>
      <w:pPr>
        <w:pStyle w:val="ListNumber"/>
      </w:pPr>
      <w:r>
        <w:t>Profile every input and produce a QA report showing record counts, duplicates, invalid rows, exclusions and matched-cell count.</w:t>
      </w:r>
    </w:p>
    <w:p>
      <w:pPr>
        <w:pStyle w:val="ListNumber"/>
      </w:pPr>
      <w:r>
        <w:t>Establish the Month 1 reported-period baseline for every metric in the specification.</w:t>
      </w:r>
    </w:p>
    <w:p>
      <w:pPr>
        <w:pStyle w:val="ListNumber"/>
      </w:pPr>
      <w:r>
        <w:t>Calculate Month 2 reported-period results and the matched-core Month 1/Month 2 comparison.</w:t>
      </w:r>
    </w:p>
    <w:p>
      <w:pPr>
        <w:pStyle w:val="ListNumber"/>
      </w:pPr>
      <w:r>
        <w:t>Show absolute percentage-point movement and relative change; use percentage points as the primary expression for rate/score movement.</w:t>
      </w:r>
    </w:p>
    <w:p>
      <w:pPr>
        <w:pStyle w:val="ListNumber"/>
      </w:pPr>
      <w:r>
        <w:t>Decompose movement by prompt family and platform.</w:t>
      </w:r>
    </w:p>
    <w:p>
      <w:pPr>
        <w:pStyle w:val="ListNumber"/>
      </w:pPr>
      <w:r>
        <w:t>Assess every deployed fix using only: consistent_with_improvement, mixed, no_observable_support or not_evaluable_month_2. Include confidence and evidence.</w:t>
      </w:r>
    </w:p>
    <w:p>
      <w:pPr>
        <w:pStyle w:val="ListNumber"/>
      </w:pPr>
      <w:r>
        <w:t>Use SQL against supporting_analytics.sqlite to summarise GSC-style and GA4-style movement. Treat it as directional context, not causal proof.</w:t>
      </w:r>
    </w:p>
    <w:p>
      <w:pPr>
        <w:pStyle w:val="ListNumber"/>
      </w:pPr>
      <w:r>
        <w:t>Recommend a maximum of four Month 3 priorities, each linked to a remaining problem, metric, evidence and measurement plan.</w:t>
      </w:r>
    </w:p>
    <w:p>
      <w:pPr>
        <w:pStyle w:val="Heading1"/>
      </w:pPr>
      <w:r>
        <w:t>8. Required SQL</w:t>
      </w:r>
    </w:p>
    <w:p>
      <w:r>
        <w:t>Submit analysis_queries.sql containing readable queries that produce at least:</w:t>
      </w:r>
    </w:p>
    <w:p>
      <w:pPr>
        <w:pStyle w:val="ListBullet"/>
      </w:pPr>
      <w:r>
        <w:t>Monthly GSC impressions, clicks and CTR by branded/non-branded query type.</w:t>
      </w:r>
    </w:p>
    <w:p>
      <w:pPr>
        <w:pStyle w:val="ListBullet"/>
      </w:pPr>
      <w:r>
        <w:t>Monthly non-branded GSC performance for the cooling guide, comparison page and cooling product page combined.</w:t>
      </w:r>
    </w:p>
    <w:p>
      <w:pPr>
        <w:pStyle w:val="ListBullet"/>
      </w:pPr>
      <w:r>
        <w:t>Monthly GA4 sessions, engaged sessions, conversions and revenue.</w:t>
      </w:r>
    </w:p>
    <w:p>
      <w:r>
        <w:br w:type="page"/>
      </w:r>
    </w:p>
    <w:p>
      <w:pPr>
        <w:pStyle w:val="Heading1"/>
      </w:pPr>
      <w:r>
        <w:t>9. Submission structure</w:t>
      </w:r>
    </w:p>
    <w:tbl>
      <w:tblPr>
        <w:tblStyle w:val="TableGrid"/>
        <w:tblW w:type="dxa" w:w="9360"/>
        <w:jc w:val="left"/>
        <w:tblLayout w:type="fixed"/>
        <w:tblLook w:firstColumn="1" w:firstRow="1" w:lastColumn="0" w:lastRow="0" w:noHBand="0" w:noVBand="1" w:val="04A0"/>
        <w:tblInd w:type="dxa" w:w="120"/>
      </w:tblPr>
      <w:tblGrid>
        <w:gridCol w:w="3500"/>
        <w:gridCol w:w="5860"/>
      </w:tblGrid>
      <w:tr>
        <w:trPr>
          <w:tblHeader w:val="true"/>
        </w:trPr>
        <w:tc>
          <w:tcPr>
            <w:tcW w:type="dxa" w:w="3500"/>
            <w:shd w:fill="F2F4F7"/>
            <w:vAlign w:val="center"/>
            <w:tcMar>
              <w:top w:w="80" w:type="dxa"/>
              <w:bottom w:w="80" w:type="dxa"/>
              <w:start w:w="120" w:type="dxa"/>
              <w:end w:w="120" w:type="dxa"/>
            </w:tcMar>
          </w:tcPr>
          <w:p>
            <w:pPr>
              <w:spacing w:before="0" w:after="0" w:line="252" w:lineRule="auto"/>
              <w:jc w:val="left"/>
            </w:pPr>
            <w:r/>
            <w:r>
              <w:rPr>
                <w:rFonts w:ascii="Calibri" w:hAnsi="Calibri"/>
                <w:b/>
                <w:i w:val="0"/>
                <w:color w:val="0B2545"/>
                <w:sz w:val="17"/>
              </w:rPr>
              <w:t>Required item</w:t>
            </w:r>
          </w:p>
        </w:tc>
        <w:tc>
          <w:tcPr>
            <w:tcW w:type="dxa" w:w="5860"/>
            <w:shd w:fill="F2F4F7"/>
            <w:vAlign w:val="center"/>
            <w:tcMar>
              <w:top w:w="80" w:type="dxa"/>
              <w:bottom w:w="80" w:type="dxa"/>
              <w:start w:w="120" w:type="dxa"/>
              <w:end w:w="120" w:type="dxa"/>
            </w:tcMar>
          </w:tcPr>
          <w:p>
            <w:pPr>
              <w:spacing w:before="0" w:after="0" w:line="252" w:lineRule="auto"/>
              <w:jc w:val="left"/>
            </w:pPr>
            <w:r/>
            <w:r>
              <w:rPr>
                <w:rFonts w:ascii="Calibri" w:hAnsi="Calibri"/>
                <w:b/>
                <w:i w:val="0"/>
                <w:color w:val="0B2545"/>
                <w:sz w:val="17"/>
              </w:rPr>
              <w:t>Location or filename</w:t>
            </w:r>
          </w:p>
        </w:tc>
      </w:tr>
      <w:tr>
        <w:trPr/>
        <w:tc>
          <w:tcPr>
            <w:tcW w:type="dxa" w:w="3500"/>
            <w:vAlign w:val="center"/>
            <w:tcMar>
              <w:top w:w="80" w:type="dxa"/>
              <w:bottom w:w="80" w:type="dxa"/>
              <w:start w:w="120" w:type="dxa"/>
              <w:end w:w="120" w:type="dxa"/>
            </w:tcMar>
          </w:tcPr>
          <w:p>
            <w:pPr>
              <w:spacing w:before="0" w:after="0" w:line="252" w:lineRule="auto"/>
              <w:jc w:val="left"/>
            </w:pPr>
            <w:r/>
            <w:r>
              <w:rPr>
                <w:rFonts w:ascii="Calibri" w:hAnsi="Calibri"/>
                <w:b w:val="0"/>
                <w:i w:val="0"/>
                <w:color w:val="000000"/>
                <w:sz w:val="17"/>
              </w:rPr>
              <w:t>One-command Python entry point</w:t>
            </w:r>
          </w:p>
        </w:tc>
        <w:tc>
          <w:tcPr>
            <w:tcW w:type="dxa" w:w="5860"/>
            <w:vAlign w:val="center"/>
            <w:tcMar>
              <w:top w:w="80" w:type="dxa"/>
              <w:bottom w:w="80" w:type="dxa"/>
              <w:start w:w="120" w:type="dxa"/>
              <w:end w:w="120" w:type="dxa"/>
            </w:tcMar>
          </w:tcPr>
          <w:p>
            <w:pPr>
              <w:spacing w:before="0" w:after="0" w:line="252" w:lineRule="auto"/>
              <w:jc w:val="left"/>
            </w:pPr>
            <w:r/>
            <w:r>
              <w:rPr>
                <w:rFonts w:ascii="Calibri" w:hAnsi="Calibri"/>
                <w:b w:val="0"/>
                <w:i w:val="0"/>
                <w:color w:val="000000"/>
                <w:sz w:val="17"/>
              </w:rPr>
              <w:t>run_analysis.py</w:t>
            </w:r>
          </w:p>
        </w:tc>
      </w:tr>
      <w:tr>
        <w:trPr/>
        <w:tc>
          <w:tcPr>
            <w:tcW w:type="dxa" w:w="3500"/>
            <w:vAlign w:val="center"/>
            <w:tcMar>
              <w:top w:w="80" w:type="dxa"/>
              <w:bottom w:w="80" w:type="dxa"/>
              <w:start w:w="120" w:type="dxa"/>
              <w:end w:w="120" w:type="dxa"/>
            </w:tcMar>
          </w:tcPr>
          <w:p>
            <w:pPr>
              <w:spacing w:before="0" w:after="0" w:line="252" w:lineRule="auto"/>
              <w:jc w:val="left"/>
            </w:pPr>
            <w:r/>
            <w:r>
              <w:rPr>
                <w:rFonts w:ascii="Calibri" w:hAnsi="Calibri"/>
                <w:b w:val="0"/>
                <w:i w:val="0"/>
                <w:color w:val="000000"/>
                <w:sz w:val="17"/>
              </w:rPr>
              <w:t>Supporting Python modules/notebook</w:t>
            </w:r>
          </w:p>
        </w:tc>
        <w:tc>
          <w:tcPr>
            <w:tcW w:type="dxa" w:w="5860"/>
            <w:vAlign w:val="center"/>
            <w:tcMar>
              <w:top w:w="80" w:type="dxa"/>
              <w:bottom w:w="80" w:type="dxa"/>
              <w:start w:w="120" w:type="dxa"/>
              <w:end w:w="120" w:type="dxa"/>
            </w:tcMar>
          </w:tcPr>
          <w:p>
            <w:pPr>
              <w:spacing w:before="0" w:after="0" w:line="252" w:lineRule="auto"/>
              <w:jc w:val="left"/>
            </w:pPr>
            <w:r/>
            <w:r>
              <w:rPr>
                <w:rFonts w:ascii="Calibri" w:hAnsi="Calibri"/>
                <w:b w:val="0"/>
                <w:i w:val="0"/>
                <w:color w:val="000000"/>
                <w:sz w:val="17"/>
              </w:rPr>
              <w:t>src/; a notebook is optional and must run end-to-end</w:t>
            </w:r>
          </w:p>
        </w:tc>
      </w:tr>
      <w:tr>
        <w:trPr/>
        <w:tc>
          <w:tcPr>
            <w:tcW w:type="dxa" w:w="3500"/>
            <w:vAlign w:val="center"/>
            <w:tcMar>
              <w:top w:w="80" w:type="dxa"/>
              <w:bottom w:w="80" w:type="dxa"/>
              <w:start w:w="120" w:type="dxa"/>
              <w:end w:w="120" w:type="dxa"/>
            </w:tcMar>
          </w:tcPr>
          <w:p>
            <w:pPr>
              <w:spacing w:before="0" w:after="0" w:line="252" w:lineRule="auto"/>
              <w:jc w:val="left"/>
            </w:pPr>
            <w:r/>
            <w:r>
              <w:rPr>
                <w:rFonts w:ascii="Calibri" w:hAnsi="Calibri"/>
                <w:b w:val="0"/>
                <w:i w:val="0"/>
                <w:color w:val="000000"/>
                <w:sz w:val="17"/>
              </w:rPr>
              <w:t>SQL queries</w:t>
            </w:r>
          </w:p>
        </w:tc>
        <w:tc>
          <w:tcPr>
            <w:tcW w:type="dxa" w:w="5860"/>
            <w:vAlign w:val="center"/>
            <w:tcMar>
              <w:top w:w="80" w:type="dxa"/>
              <w:bottom w:w="80" w:type="dxa"/>
              <w:start w:w="120" w:type="dxa"/>
              <w:end w:w="120" w:type="dxa"/>
            </w:tcMar>
          </w:tcPr>
          <w:p>
            <w:pPr>
              <w:spacing w:before="0" w:after="0" w:line="252" w:lineRule="auto"/>
              <w:jc w:val="left"/>
            </w:pPr>
            <w:r/>
            <w:r>
              <w:rPr>
                <w:rFonts w:ascii="Calibri" w:hAnsi="Calibri"/>
                <w:b w:val="0"/>
                <w:i w:val="0"/>
                <w:color w:val="000000"/>
                <w:sz w:val="17"/>
              </w:rPr>
              <w:t>analysis_queries.sql</w:t>
            </w:r>
          </w:p>
        </w:tc>
      </w:tr>
      <w:tr>
        <w:trPr/>
        <w:tc>
          <w:tcPr>
            <w:tcW w:type="dxa" w:w="3500"/>
            <w:vAlign w:val="center"/>
            <w:tcMar>
              <w:top w:w="80" w:type="dxa"/>
              <w:bottom w:w="80" w:type="dxa"/>
              <w:start w:w="120" w:type="dxa"/>
              <w:end w:w="120" w:type="dxa"/>
            </w:tcMar>
          </w:tcPr>
          <w:p>
            <w:pPr>
              <w:spacing w:before="0" w:after="0" w:line="252" w:lineRule="auto"/>
              <w:jc w:val="left"/>
            </w:pPr>
            <w:r/>
            <w:r>
              <w:rPr>
                <w:rFonts w:ascii="Calibri" w:hAnsi="Calibri"/>
                <w:b w:val="0"/>
                <w:i w:val="0"/>
                <w:color w:val="000000"/>
                <w:sz w:val="17"/>
              </w:rPr>
              <w:t>Clean analytical tables</w:t>
            </w:r>
          </w:p>
        </w:tc>
        <w:tc>
          <w:tcPr>
            <w:tcW w:type="dxa" w:w="5860"/>
            <w:vAlign w:val="center"/>
            <w:tcMar>
              <w:top w:w="80" w:type="dxa"/>
              <w:bottom w:w="80" w:type="dxa"/>
              <w:start w:w="120" w:type="dxa"/>
              <w:end w:w="120" w:type="dxa"/>
            </w:tcMar>
          </w:tcPr>
          <w:p>
            <w:pPr>
              <w:spacing w:before="0" w:after="0" w:line="252" w:lineRule="auto"/>
              <w:jc w:val="left"/>
            </w:pPr>
            <w:r/>
            <w:r>
              <w:rPr>
                <w:rFonts w:ascii="Calibri" w:hAnsi="Calibri"/>
                <w:b w:val="0"/>
                <w:i w:val="0"/>
                <w:color w:val="000000"/>
                <w:sz w:val="17"/>
              </w:rPr>
              <w:t>outputs/runs_clean.csv, outcomes_clean.csv, citations_clean.csv</w:t>
            </w:r>
          </w:p>
        </w:tc>
      </w:tr>
      <w:tr>
        <w:trPr/>
        <w:tc>
          <w:tcPr>
            <w:tcW w:type="dxa" w:w="3500"/>
            <w:vAlign w:val="center"/>
            <w:tcMar>
              <w:top w:w="80" w:type="dxa"/>
              <w:bottom w:w="80" w:type="dxa"/>
              <w:start w:w="120" w:type="dxa"/>
              <w:end w:w="120" w:type="dxa"/>
            </w:tcMar>
          </w:tcPr>
          <w:p>
            <w:pPr>
              <w:spacing w:before="0" w:after="0" w:line="252" w:lineRule="auto"/>
              <w:jc w:val="left"/>
            </w:pPr>
            <w:r/>
            <w:r>
              <w:rPr>
                <w:rFonts w:ascii="Calibri" w:hAnsi="Calibri"/>
                <w:b w:val="0"/>
                <w:i w:val="0"/>
                <w:color w:val="000000"/>
                <w:sz w:val="17"/>
              </w:rPr>
              <w:t>QA output</w:t>
            </w:r>
          </w:p>
        </w:tc>
        <w:tc>
          <w:tcPr>
            <w:tcW w:type="dxa" w:w="5860"/>
            <w:vAlign w:val="center"/>
            <w:tcMar>
              <w:top w:w="80" w:type="dxa"/>
              <w:bottom w:w="80" w:type="dxa"/>
              <w:start w:w="120" w:type="dxa"/>
              <w:end w:w="120" w:type="dxa"/>
            </w:tcMar>
          </w:tcPr>
          <w:p>
            <w:pPr>
              <w:spacing w:before="0" w:after="0" w:line="252" w:lineRule="auto"/>
              <w:jc w:val="left"/>
            </w:pPr>
            <w:r/>
            <w:r>
              <w:rPr>
                <w:rFonts w:ascii="Calibri" w:hAnsi="Calibri"/>
                <w:b w:val="0"/>
                <w:i w:val="0"/>
                <w:color w:val="000000"/>
                <w:sz w:val="17"/>
              </w:rPr>
              <w:t>outputs/qa_report.csv</w:t>
            </w:r>
          </w:p>
        </w:tc>
      </w:tr>
      <w:tr>
        <w:trPr/>
        <w:tc>
          <w:tcPr>
            <w:tcW w:type="dxa" w:w="3500"/>
            <w:vAlign w:val="center"/>
            <w:tcMar>
              <w:top w:w="80" w:type="dxa"/>
              <w:bottom w:w="80" w:type="dxa"/>
              <w:start w:w="120" w:type="dxa"/>
              <w:end w:w="120" w:type="dxa"/>
            </w:tcMar>
          </w:tcPr>
          <w:p>
            <w:pPr>
              <w:spacing w:before="0" w:after="0" w:line="252" w:lineRule="auto"/>
              <w:jc w:val="left"/>
            </w:pPr>
            <w:r/>
            <w:r>
              <w:rPr>
                <w:rFonts w:ascii="Calibri" w:hAnsi="Calibri"/>
                <w:b w:val="0"/>
                <w:i w:val="0"/>
                <w:color w:val="000000"/>
                <w:sz w:val="17"/>
              </w:rPr>
              <w:t>Month 1 baseline</w:t>
            </w:r>
          </w:p>
        </w:tc>
        <w:tc>
          <w:tcPr>
            <w:tcW w:type="dxa" w:w="5860"/>
            <w:vAlign w:val="center"/>
            <w:tcMar>
              <w:top w:w="80" w:type="dxa"/>
              <w:bottom w:w="80" w:type="dxa"/>
              <w:start w:w="120" w:type="dxa"/>
              <w:end w:w="120" w:type="dxa"/>
            </w:tcMar>
          </w:tcPr>
          <w:p>
            <w:pPr>
              <w:spacing w:before="0" w:after="0" w:line="252" w:lineRule="auto"/>
              <w:jc w:val="left"/>
            </w:pPr>
            <w:r/>
            <w:r>
              <w:rPr>
                <w:rFonts w:ascii="Calibri" w:hAnsi="Calibri"/>
                <w:b w:val="0"/>
                <w:i w:val="0"/>
                <w:color w:val="000000"/>
                <w:sz w:val="17"/>
              </w:rPr>
              <w:t>outputs/month_1_baseline.csv</w:t>
            </w:r>
          </w:p>
        </w:tc>
      </w:tr>
      <w:tr>
        <w:trPr/>
        <w:tc>
          <w:tcPr>
            <w:tcW w:type="dxa" w:w="3500"/>
            <w:vAlign w:val="center"/>
            <w:tcMar>
              <w:top w:w="80" w:type="dxa"/>
              <w:bottom w:w="80" w:type="dxa"/>
              <w:start w:w="120" w:type="dxa"/>
              <w:end w:w="120" w:type="dxa"/>
            </w:tcMar>
          </w:tcPr>
          <w:p>
            <w:pPr>
              <w:spacing w:before="0" w:after="0" w:line="252" w:lineRule="auto"/>
              <w:jc w:val="left"/>
            </w:pPr>
            <w:r/>
            <w:r>
              <w:rPr>
                <w:rFonts w:ascii="Calibri" w:hAnsi="Calibri"/>
                <w:b w:val="0"/>
                <w:i w:val="0"/>
                <w:color w:val="000000"/>
                <w:sz w:val="17"/>
              </w:rPr>
              <w:t>Matched comparison</w:t>
            </w:r>
          </w:p>
        </w:tc>
        <w:tc>
          <w:tcPr>
            <w:tcW w:type="dxa" w:w="5860"/>
            <w:vAlign w:val="center"/>
            <w:tcMar>
              <w:top w:w="80" w:type="dxa"/>
              <w:bottom w:w="80" w:type="dxa"/>
              <w:start w:w="120" w:type="dxa"/>
              <w:end w:w="120" w:type="dxa"/>
            </w:tcMar>
          </w:tcPr>
          <w:p>
            <w:pPr>
              <w:spacing w:before="0" w:after="0" w:line="252" w:lineRule="auto"/>
              <w:jc w:val="left"/>
            </w:pPr>
            <w:r/>
            <w:r>
              <w:rPr>
                <w:rFonts w:ascii="Calibri" w:hAnsi="Calibri"/>
                <w:b w:val="0"/>
                <w:i w:val="0"/>
                <w:color w:val="000000"/>
                <w:sz w:val="17"/>
              </w:rPr>
              <w:t>outputs/month_comparison_matched.csv</w:t>
            </w:r>
          </w:p>
        </w:tc>
      </w:tr>
      <w:tr>
        <w:trPr/>
        <w:tc>
          <w:tcPr>
            <w:tcW w:type="dxa" w:w="3500"/>
            <w:vAlign w:val="center"/>
            <w:tcMar>
              <w:top w:w="80" w:type="dxa"/>
              <w:bottom w:w="80" w:type="dxa"/>
              <w:start w:w="120" w:type="dxa"/>
              <w:end w:w="120" w:type="dxa"/>
            </w:tcMar>
          </w:tcPr>
          <w:p>
            <w:pPr>
              <w:spacing w:before="0" w:after="0" w:line="252" w:lineRule="auto"/>
              <w:jc w:val="left"/>
            </w:pPr>
            <w:r/>
            <w:r>
              <w:rPr>
                <w:rFonts w:ascii="Calibri" w:hAnsi="Calibri"/>
                <w:b w:val="0"/>
                <w:i w:val="0"/>
                <w:color w:val="000000"/>
                <w:sz w:val="17"/>
              </w:rPr>
              <w:t>Driver analysis</w:t>
            </w:r>
          </w:p>
        </w:tc>
        <w:tc>
          <w:tcPr>
            <w:tcW w:type="dxa" w:w="5860"/>
            <w:vAlign w:val="center"/>
            <w:tcMar>
              <w:top w:w="80" w:type="dxa"/>
              <w:bottom w:w="80" w:type="dxa"/>
              <w:start w:w="120" w:type="dxa"/>
              <w:end w:w="120" w:type="dxa"/>
            </w:tcMar>
          </w:tcPr>
          <w:p>
            <w:pPr>
              <w:spacing w:before="0" w:after="0" w:line="252" w:lineRule="auto"/>
              <w:jc w:val="left"/>
            </w:pPr>
            <w:r/>
            <w:r>
              <w:rPr>
                <w:rFonts w:ascii="Calibri" w:hAnsi="Calibri"/>
                <w:b w:val="0"/>
                <w:i w:val="0"/>
                <w:color w:val="000000"/>
                <w:sz w:val="17"/>
              </w:rPr>
              <w:t>outputs/prompt_family_deltas.csv and platform_deltas.csv</w:t>
            </w:r>
          </w:p>
        </w:tc>
      </w:tr>
      <w:tr>
        <w:trPr/>
        <w:tc>
          <w:tcPr>
            <w:tcW w:type="dxa" w:w="3500"/>
            <w:vAlign w:val="center"/>
            <w:tcMar>
              <w:top w:w="80" w:type="dxa"/>
              <w:bottom w:w="80" w:type="dxa"/>
              <w:start w:w="120" w:type="dxa"/>
              <w:end w:w="120" w:type="dxa"/>
            </w:tcMar>
          </w:tcPr>
          <w:p>
            <w:pPr>
              <w:spacing w:before="0" w:after="0" w:line="252" w:lineRule="auto"/>
              <w:jc w:val="left"/>
            </w:pPr>
            <w:r/>
            <w:r>
              <w:rPr>
                <w:rFonts w:ascii="Calibri" w:hAnsi="Calibri"/>
                <w:b w:val="0"/>
                <w:i w:val="0"/>
                <w:color w:val="000000"/>
                <w:sz w:val="17"/>
              </w:rPr>
              <w:t>Supporting analytics</w:t>
            </w:r>
          </w:p>
        </w:tc>
        <w:tc>
          <w:tcPr>
            <w:tcW w:type="dxa" w:w="5860"/>
            <w:vAlign w:val="center"/>
            <w:tcMar>
              <w:top w:w="80" w:type="dxa"/>
              <w:bottom w:w="80" w:type="dxa"/>
              <w:start w:w="120" w:type="dxa"/>
              <w:end w:w="120" w:type="dxa"/>
            </w:tcMar>
          </w:tcPr>
          <w:p>
            <w:pPr>
              <w:spacing w:before="0" w:after="0" w:line="252" w:lineRule="auto"/>
              <w:jc w:val="left"/>
            </w:pPr>
            <w:r/>
            <w:r>
              <w:rPr>
                <w:rFonts w:ascii="Calibri" w:hAnsi="Calibri"/>
                <w:b w:val="0"/>
                <w:i w:val="0"/>
                <w:color w:val="000000"/>
                <w:sz w:val="17"/>
              </w:rPr>
              <w:t>outputs/supporting_analytics_summary.csv</w:t>
            </w:r>
          </w:p>
        </w:tc>
      </w:tr>
      <w:tr>
        <w:trPr/>
        <w:tc>
          <w:tcPr>
            <w:tcW w:type="dxa" w:w="3500"/>
            <w:vAlign w:val="center"/>
            <w:tcMar>
              <w:top w:w="80" w:type="dxa"/>
              <w:bottom w:w="80" w:type="dxa"/>
              <w:start w:w="120" w:type="dxa"/>
              <w:end w:w="120" w:type="dxa"/>
            </w:tcMar>
          </w:tcPr>
          <w:p>
            <w:pPr>
              <w:spacing w:before="0" w:after="0" w:line="252" w:lineRule="auto"/>
              <w:jc w:val="left"/>
            </w:pPr>
            <w:r/>
            <w:r>
              <w:rPr>
                <w:rFonts w:ascii="Calibri" w:hAnsi="Calibri"/>
                <w:b w:val="0"/>
                <w:i w:val="0"/>
                <w:color w:val="000000"/>
                <w:sz w:val="17"/>
              </w:rPr>
              <w:t>Fix assessment</w:t>
            </w:r>
          </w:p>
        </w:tc>
        <w:tc>
          <w:tcPr>
            <w:tcW w:type="dxa" w:w="5860"/>
            <w:vAlign w:val="center"/>
            <w:tcMar>
              <w:top w:w="80" w:type="dxa"/>
              <w:bottom w:w="80" w:type="dxa"/>
              <w:start w:w="120" w:type="dxa"/>
              <w:end w:w="120" w:type="dxa"/>
            </w:tcMar>
          </w:tcPr>
          <w:p>
            <w:pPr>
              <w:spacing w:before="0" w:after="0" w:line="252" w:lineRule="auto"/>
              <w:jc w:val="left"/>
            </w:pPr>
            <w:r/>
            <w:r>
              <w:rPr>
                <w:rFonts w:ascii="Calibri" w:hAnsi="Calibri"/>
                <w:b w:val="0"/>
                <w:i w:val="0"/>
                <w:color w:val="000000"/>
                <w:sz w:val="17"/>
              </w:rPr>
              <w:t>outputs/fix_assessment.csv</w:t>
            </w:r>
          </w:p>
        </w:tc>
      </w:tr>
      <w:tr>
        <w:trPr/>
        <w:tc>
          <w:tcPr>
            <w:tcW w:type="dxa" w:w="3500"/>
            <w:vAlign w:val="center"/>
            <w:tcMar>
              <w:top w:w="80" w:type="dxa"/>
              <w:bottom w:w="80" w:type="dxa"/>
              <w:start w:w="120" w:type="dxa"/>
              <w:end w:w="120" w:type="dxa"/>
            </w:tcMar>
          </w:tcPr>
          <w:p>
            <w:pPr>
              <w:spacing w:before="0" w:after="0" w:line="252" w:lineRule="auto"/>
              <w:jc w:val="left"/>
            </w:pPr>
            <w:r/>
            <w:r>
              <w:rPr>
                <w:rFonts w:ascii="Calibri" w:hAnsi="Calibri"/>
                <w:b w:val="0"/>
                <w:i w:val="0"/>
                <w:color w:val="000000"/>
                <w:sz w:val="17"/>
              </w:rPr>
              <w:t>Next-sprint plan</w:t>
            </w:r>
          </w:p>
        </w:tc>
        <w:tc>
          <w:tcPr>
            <w:tcW w:type="dxa" w:w="5860"/>
            <w:vAlign w:val="center"/>
            <w:tcMar>
              <w:top w:w="80" w:type="dxa"/>
              <w:bottom w:w="80" w:type="dxa"/>
              <w:start w:w="120" w:type="dxa"/>
              <w:end w:w="120" w:type="dxa"/>
            </w:tcMar>
          </w:tcPr>
          <w:p>
            <w:pPr>
              <w:spacing w:before="0" w:after="0" w:line="252" w:lineRule="auto"/>
              <w:jc w:val="left"/>
            </w:pPr>
            <w:r/>
            <w:r>
              <w:rPr>
                <w:rFonts w:ascii="Calibri" w:hAnsi="Calibri"/>
                <w:b w:val="0"/>
                <w:i w:val="0"/>
                <w:color w:val="000000"/>
                <w:sz w:val="17"/>
              </w:rPr>
              <w:t>outputs/next_sprint_plan.csv</w:t>
            </w:r>
          </w:p>
        </w:tc>
      </w:tr>
      <w:tr>
        <w:trPr/>
        <w:tc>
          <w:tcPr>
            <w:tcW w:type="dxa" w:w="3500"/>
            <w:vAlign w:val="center"/>
            <w:tcMar>
              <w:top w:w="80" w:type="dxa"/>
              <w:bottom w:w="80" w:type="dxa"/>
              <w:start w:w="120" w:type="dxa"/>
              <w:end w:w="120" w:type="dxa"/>
            </w:tcMar>
          </w:tcPr>
          <w:p>
            <w:pPr>
              <w:spacing w:before="0" w:after="0" w:line="252" w:lineRule="auto"/>
              <w:jc w:val="left"/>
            </w:pPr>
            <w:r/>
            <w:r>
              <w:rPr>
                <w:rFonts w:ascii="Calibri" w:hAnsi="Calibri"/>
                <w:b w:val="0"/>
                <w:i w:val="0"/>
                <w:color w:val="000000"/>
                <w:sz w:val="17"/>
              </w:rPr>
              <w:t>Executive memo</w:t>
            </w:r>
          </w:p>
        </w:tc>
        <w:tc>
          <w:tcPr>
            <w:tcW w:type="dxa" w:w="5860"/>
            <w:vAlign w:val="center"/>
            <w:tcMar>
              <w:top w:w="80" w:type="dxa"/>
              <w:bottom w:w="80" w:type="dxa"/>
              <w:start w:w="120" w:type="dxa"/>
              <w:end w:w="120" w:type="dxa"/>
            </w:tcMar>
          </w:tcPr>
          <w:p>
            <w:pPr>
              <w:spacing w:before="0" w:after="0" w:line="252" w:lineRule="auto"/>
              <w:jc w:val="left"/>
            </w:pPr>
            <w:r/>
            <w:r>
              <w:rPr>
                <w:rFonts w:ascii="Calibri" w:hAnsi="Calibri"/>
                <w:b w:val="0"/>
                <w:i w:val="0"/>
                <w:color w:val="000000"/>
                <w:sz w:val="17"/>
              </w:rPr>
              <w:t>executive_memo.pdf; maximum three pages</w:t>
            </w:r>
          </w:p>
        </w:tc>
      </w:tr>
      <w:tr>
        <w:trPr/>
        <w:tc>
          <w:tcPr>
            <w:tcW w:type="dxa" w:w="3500"/>
            <w:vAlign w:val="center"/>
            <w:tcMar>
              <w:top w:w="80" w:type="dxa"/>
              <w:bottom w:w="80" w:type="dxa"/>
              <w:start w:w="120" w:type="dxa"/>
              <w:end w:w="120" w:type="dxa"/>
            </w:tcMar>
          </w:tcPr>
          <w:p>
            <w:pPr>
              <w:spacing w:before="0" w:after="0" w:line="252" w:lineRule="auto"/>
              <w:jc w:val="left"/>
            </w:pPr>
            <w:r/>
            <w:r>
              <w:rPr>
                <w:rFonts w:ascii="Calibri" w:hAnsi="Calibri"/>
                <w:b w:val="0"/>
                <w:i w:val="0"/>
                <w:color w:val="000000"/>
                <w:sz w:val="17"/>
              </w:rPr>
              <w:t>Run instructions</w:t>
            </w:r>
          </w:p>
        </w:tc>
        <w:tc>
          <w:tcPr>
            <w:tcW w:type="dxa" w:w="5860"/>
            <w:vAlign w:val="center"/>
            <w:tcMar>
              <w:top w:w="80" w:type="dxa"/>
              <w:bottom w:w="80" w:type="dxa"/>
              <w:start w:w="120" w:type="dxa"/>
              <w:end w:w="120" w:type="dxa"/>
            </w:tcMar>
          </w:tcPr>
          <w:p>
            <w:pPr>
              <w:spacing w:before="0" w:after="0" w:line="252" w:lineRule="auto"/>
              <w:jc w:val="left"/>
            </w:pPr>
            <w:r/>
            <w:r>
              <w:rPr>
                <w:rFonts w:ascii="Calibri" w:hAnsi="Calibri"/>
                <w:b w:val="0"/>
                <w:i w:val="0"/>
                <w:color w:val="000000"/>
                <w:sz w:val="17"/>
              </w:rPr>
              <w:t>README.md</w:t>
            </w:r>
          </w:p>
        </w:tc>
      </w:tr>
      <w:tr>
        <w:trPr/>
        <w:tc>
          <w:tcPr>
            <w:tcW w:type="dxa" w:w="3500"/>
            <w:vAlign w:val="center"/>
            <w:tcMar>
              <w:top w:w="80" w:type="dxa"/>
              <w:bottom w:w="80" w:type="dxa"/>
              <w:start w:w="120" w:type="dxa"/>
              <w:end w:w="120" w:type="dxa"/>
            </w:tcMar>
          </w:tcPr>
          <w:p>
            <w:pPr>
              <w:spacing w:before="0" w:after="0" w:line="252" w:lineRule="auto"/>
              <w:jc w:val="left"/>
            </w:pPr>
            <w:r/>
            <w:r>
              <w:rPr>
                <w:rFonts w:ascii="Calibri" w:hAnsi="Calibri"/>
                <w:b w:val="0"/>
                <w:i w:val="0"/>
                <w:color w:val="000000"/>
                <w:sz w:val="17"/>
              </w:rPr>
              <w:t>AI disclosure</w:t>
            </w:r>
          </w:p>
        </w:tc>
        <w:tc>
          <w:tcPr>
            <w:tcW w:type="dxa" w:w="5860"/>
            <w:vAlign w:val="center"/>
            <w:tcMar>
              <w:top w:w="80" w:type="dxa"/>
              <w:bottom w:w="80" w:type="dxa"/>
              <w:start w:w="120" w:type="dxa"/>
              <w:end w:w="120" w:type="dxa"/>
            </w:tcMar>
          </w:tcPr>
          <w:p>
            <w:pPr>
              <w:spacing w:before="0" w:after="0" w:line="252" w:lineRule="auto"/>
              <w:jc w:val="left"/>
            </w:pPr>
            <w:r/>
            <w:r>
              <w:rPr>
                <w:rFonts w:ascii="Calibri" w:hAnsi="Calibri"/>
                <w:b w:val="0"/>
                <w:i w:val="0"/>
                <w:color w:val="000000"/>
                <w:sz w:val="17"/>
              </w:rPr>
              <w:t>AI_USAGE_DECLARATION.md</w:t>
            </w:r>
          </w:p>
        </w:tc>
      </w:tr>
    </w:tbl>
    <w:p>
      <w:pPr>
        <w:spacing w:after="20"/>
      </w:pPr>
    </w:p>
    <w:p>
      <w:pPr>
        <w:pStyle w:val="Heading1"/>
      </w:pPr>
      <w:r>
        <w:t>10. Executive memo questions</w:t>
      </w:r>
    </w:p>
    <w:p>
      <w:pPr>
        <w:pStyle w:val="ListBullet"/>
      </w:pPr>
      <w:r>
        <w:t>What was the reliable Month 1 baseline?</w:t>
      </w:r>
    </w:p>
    <w:p>
      <w:pPr>
        <w:pStyle w:val="ListBullet"/>
      </w:pPr>
      <w:r>
        <w:t>What genuinely moved in Month 2 on a matched basis?</w:t>
      </w:r>
    </w:p>
    <w:p>
      <w:pPr>
        <w:pStyle w:val="ListBullet"/>
      </w:pPr>
      <w:r>
        <w:t>Which movements are large in relative terms but still weak in absolute terms?</w:t>
      </w:r>
    </w:p>
    <w:p>
      <w:pPr>
        <w:pStyle w:val="ListBullet"/>
      </w:pPr>
      <w:r>
        <w:t>Which fixes are consistent with improvement, and which cannot yet be evaluated?</w:t>
      </w:r>
    </w:p>
    <w:p>
      <w:pPr>
        <w:pStyle w:val="ListBullet"/>
      </w:pPr>
      <w:r>
        <w:t>What did not improve or remains the binding constraint?</w:t>
      </w:r>
    </w:p>
    <w:p>
      <w:pPr>
        <w:pStyle w:val="ListBullet"/>
      </w:pPr>
      <w:r>
        <w:t>What should Kasparro and AsterVale do in Month 3?</w:t>
      </w:r>
    </w:p>
    <w:p>
      <w:pPr>
        <w:pStyle w:val="ListBullet"/>
      </w:pPr>
      <w:r>
        <w:t>What should be changed in the next audit process?</w:t>
      </w:r>
    </w:p>
    <w:p>
      <w:pPr>
        <w:pStyle w:val="Heading1"/>
      </w:pPr>
      <w:r>
        <w:t>11. Working rules</w:t>
      </w:r>
    </w:p>
    <w:p>
      <w:pPr>
        <w:pStyle w:val="ListBullet"/>
      </w:pPr>
      <w:r>
        <w:t>Do not alter files in the supplied data folder.</w:t>
      </w:r>
    </w:p>
    <w:p>
      <w:pPr>
        <w:pStyle w:val="ListBullet"/>
      </w:pPr>
      <w:r>
        <w:t>Do not manually enter headline metrics into the final outputs.</w:t>
      </w:r>
    </w:p>
    <w:p>
      <w:pPr>
        <w:pStyle w:val="ListBullet"/>
      </w:pPr>
      <w:r>
        <w:t>Your pipeline must run from a fresh environment using the README instructions.</w:t>
      </w:r>
    </w:p>
    <w:p>
      <w:pPr>
        <w:pStyle w:val="ListBullet"/>
      </w:pPr>
      <w:r>
        <w:t>Python is mandatory. Excel, Power BI or another visual tool may supplement the work but cannot be the hidden calculation layer.</w:t>
      </w:r>
    </w:p>
    <w:p>
      <w:pPr>
        <w:pStyle w:val="ListBullet"/>
      </w:pPr>
      <w:r>
        <w:t>AI tools are allowed. Full disclosure and independent verification are mandatory.</w:t>
      </w:r>
    </w:p>
    <w:p>
      <w:pPr>
        <w:pStyle w:val="ListBullet"/>
      </w:pPr>
      <w:r>
        <w:t>Do not browse for the fictional brands or platforms; all relevant evidence is inside the pack.</w:t>
      </w:r>
    </w:p>
    <w:p>
      <w:pPr>
        <w:pStyle w:val="ListBullet"/>
      </w:pPr>
      <w:r>
        <w:t>Do not spend time on predictive modelling, production deployment or elaborate UI work.</w:t>
      </w:r>
    </w:p>
    <w:p>
      <w:pPr>
        <w:pStyle w:val="Heading1"/>
      </w:pPr>
      <w:r>
        <w:t>12. Evaluation</w:t>
      </w:r>
    </w:p>
    <w:tbl>
      <w:tblPr>
        <w:tblStyle w:val="TableGrid"/>
        <w:tblW w:type="dxa" w:w="9360"/>
        <w:jc w:val="left"/>
        <w:tblLayout w:type="fixed"/>
        <w:tblLook w:firstColumn="1" w:firstRow="1" w:lastColumn="0" w:lastRow="0" w:noHBand="0" w:noVBand="1" w:val="04A0"/>
        <w:tblInd w:type="dxa" w:w="120"/>
      </w:tblPr>
      <w:tblGrid>
        <w:gridCol w:w="6500"/>
        <w:gridCol w:w="2860"/>
      </w:tblGrid>
      <w:tr>
        <w:trPr>
          <w:tblHeader w:val="true"/>
        </w:trPr>
        <w:tc>
          <w:tcPr>
            <w:tcW w:type="dxa" w:w="6500"/>
            <w:shd w:fill="F2F4F7"/>
            <w:vAlign w:val="center"/>
            <w:tcMar>
              <w:top w:w="80" w:type="dxa"/>
              <w:bottom w:w="80" w:type="dxa"/>
              <w:start w:w="120" w:type="dxa"/>
              <w:end w:w="120" w:type="dxa"/>
            </w:tcMar>
          </w:tcPr>
          <w:p>
            <w:pPr>
              <w:spacing w:before="0" w:after="0" w:line="252" w:lineRule="auto"/>
              <w:jc w:val="left"/>
            </w:pPr>
            <w:r/>
            <w:r>
              <w:rPr>
                <w:rFonts w:ascii="Calibri" w:hAnsi="Calibri"/>
                <w:b/>
                <w:i w:val="0"/>
                <w:color w:val="0B2545"/>
                <w:sz w:val="18"/>
              </w:rPr>
              <w:t>Area</w:t>
            </w:r>
          </w:p>
        </w:tc>
        <w:tc>
          <w:tcPr>
            <w:tcW w:type="dxa" w:w="2860"/>
            <w:shd w:fill="F2F4F7"/>
            <w:vAlign w:val="center"/>
            <w:tcMar>
              <w:top w:w="80" w:type="dxa"/>
              <w:bottom w:w="80" w:type="dxa"/>
              <w:start w:w="120" w:type="dxa"/>
              <w:end w:w="120" w:type="dxa"/>
            </w:tcMar>
          </w:tcPr>
          <w:p>
            <w:pPr>
              <w:spacing w:before="0" w:after="0" w:line="252" w:lineRule="auto"/>
              <w:jc w:val="left"/>
            </w:pPr>
            <w:r/>
            <w:r>
              <w:rPr>
                <w:rFonts w:ascii="Calibri" w:hAnsi="Calibri"/>
                <w:b/>
                <w:i w:val="0"/>
                <w:color w:val="0B2545"/>
                <w:sz w:val="18"/>
              </w:rPr>
              <w:t>Weight</w:t>
            </w:r>
          </w:p>
        </w:tc>
      </w:tr>
      <w:tr>
        <w:trPr/>
        <w:tc>
          <w:tcPr>
            <w:tcW w:type="dxa" w:w="6500"/>
            <w:vAlign w:val="center"/>
            <w:tcMar>
              <w:top w:w="80" w:type="dxa"/>
              <w:bottom w:w="80" w:type="dxa"/>
              <w:start w:w="120" w:type="dxa"/>
              <w:end w:w="120" w:type="dxa"/>
            </w:tcMar>
          </w:tcPr>
          <w:p>
            <w:pPr>
              <w:spacing w:before="0" w:after="0" w:line="252" w:lineRule="auto"/>
              <w:jc w:val="left"/>
            </w:pPr>
            <w:r/>
            <w:r>
              <w:rPr>
                <w:rFonts w:ascii="Calibri" w:hAnsi="Calibri"/>
                <w:b w:val="0"/>
                <w:i w:val="0"/>
                <w:color w:val="000000"/>
                <w:sz w:val="18"/>
              </w:rPr>
              <w:t>Python pipeline and reproducibility</w:t>
            </w:r>
          </w:p>
        </w:tc>
        <w:tc>
          <w:tcPr>
            <w:tcW w:type="dxa" w:w="2860"/>
            <w:vAlign w:val="center"/>
            <w:tcMar>
              <w:top w:w="80" w:type="dxa"/>
              <w:bottom w:w="80" w:type="dxa"/>
              <w:start w:w="120" w:type="dxa"/>
              <w:end w:w="120" w:type="dxa"/>
            </w:tcMar>
          </w:tcPr>
          <w:p>
            <w:pPr>
              <w:spacing w:before="0" w:after="0" w:line="252" w:lineRule="auto"/>
              <w:jc w:val="left"/>
            </w:pPr>
            <w:r/>
            <w:r>
              <w:rPr>
                <w:rFonts w:ascii="Calibri" w:hAnsi="Calibri"/>
                <w:b w:val="0"/>
                <w:i w:val="0"/>
                <w:color w:val="000000"/>
                <w:sz w:val="18"/>
              </w:rPr>
              <w:t>20%</w:t>
            </w:r>
          </w:p>
        </w:tc>
      </w:tr>
      <w:tr>
        <w:trPr/>
        <w:tc>
          <w:tcPr>
            <w:tcW w:type="dxa" w:w="6500"/>
            <w:vAlign w:val="center"/>
            <w:tcMar>
              <w:top w:w="80" w:type="dxa"/>
              <w:bottom w:w="80" w:type="dxa"/>
              <w:start w:w="120" w:type="dxa"/>
              <w:end w:w="120" w:type="dxa"/>
            </w:tcMar>
          </w:tcPr>
          <w:p>
            <w:pPr>
              <w:spacing w:before="0" w:after="0" w:line="252" w:lineRule="auto"/>
              <w:jc w:val="left"/>
            </w:pPr>
            <w:r/>
            <w:r>
              <w:rPr>
                <w:rFonts w:ascii="Calibri" w:hAnsi="Calibri"/>
                <w:b w:val="0"/>
                <w:i w:val="0"/>
                <w:color w:val="000000"/>
                <w:sz w:val="18"/>
              </w:rPr>
              <w:t>Data QA and reconciliation</w:t>
            </w:r>
          </w:p>
        </w:tc>
        <w:tc>
          <w:tcPr>
            <w:tcW w:type="dxa" w:w="2860"/>
            <w:vAlign w:val="center"/>
            <w:tcMar>
              <w:top w:w="80" w:type="dxa"/>
              <w:bottom w:w="80" w:type="dxa"/>
              <w:start w:w="120" w:type="dxa"/>
              <w:end w:w="120" w:type="dxa"/>
            </w:tcMar>
          </w:tcPr>
          <w:p>
            <w:pPr>
              <w:spacing w:before="0" w:after="0" w:line="252" w:lineRule="auto"/>
              <w:jc w:val="left"/>
            </w:pPr>
            <w:r/>
            <w:r>
              <w:rPr>
                <w:rFonts w:ascii="Calibri" w:hAnsi="Calibri"/>
                <w:b w:val="0"/>
                <w:i w:val="0"/>
                <w:color w:val="000000"/>
                <w:sz w:val="18"/>
              </w:rPr>
              <w:t>15%</w:t>
            </w:r>
          </w:p>
        </w:tc>
      </w:tr>
      <w:tr>
        <w:trPr/>
        <w:tc>
          <w:tcPr>
            <w:tcW w:type="dxa" w:w="6500"/>
            <w:vAlign w:val="center"/>
            <w:tcMar>
              <w:top w:w="80" w:type="dxa"/>
              <w:bottom w:w="80" w:type="dxa"/>
              <w:start w:w="120" w:type="dxa"/>
              <w:end w:w="120" w:type="dxa"/>
            </w:tcMar>
          </w:tcPr>
          <w:p>
            <w:pPr>
              <w:spacing w:before="0" w:after="0" w:line="252" w:lineRule="auto"/>
              <w:jc w:val="left"/>
            </w:pPr>
            <w:r/>
            <w:r>
              <w:rPr>
                <w:rFonts w:ascii="Calibri" w:hAnsi="Calibri"/>
                <w:b w:val="0"/>
                <w:i w:val="0"/>
                <w:color w:val="000000"/>
                <w:sz w:val="18"/>
              </w:rPr>
              <w:t>Metric and baseline correctness</w:t>
            </w:r>
          </w:p>
        </w:tc>
        <w:tc>
          <w:tcPr>
            <w:tcW w:type="dxa" w:w="2860"/>
            <w:vAlign w:val="center"/>
            <w:tcMar>
              <w:top w:w="80" w:type="dxa"/>
              <w:bottom w:w="80" w:type="dxa"/>
              <w:start w:w="120" w:type="dxa"/>
              <w:end w:w="120" w:type="dxa"/>
            </w:tcMar>
          </w:tcPr>
          <w:p>
            <w:pPr>
              <w:spacing w:before="0" w:after="0" w:line="252" w:lineRule="auto"/>
              <w:jc w:val="left"/>
            </w:pPr>
            <w:r/>
            <w:r>
              <w:rPr>
                <w:rFonts w:ascii="Calibri" w:hAnsi="Calibri"/>
                <w:b w:val="0"/>
                <w:i w:val="0"/>
                <w:color w:val="000000"/>
                <w:sz w:val="18"/>
              </w:rPr>
              <w:t>20%</w:t>
            </w:r>
          </w:p>
        </w:tc>
      </w:tr>
      <w:tr>
        <w:trPr/>
        <w:tc>
          <w:tcPr>
            <w:tcW w:type="dxa" w:w="6500"/>
            <w:vAlign w:val="center"/>
            <w:tcMar>
              <w:top w:w="80" w:type="dxa"/>
              <w:bottom w:w="80" w:type="dxa"/>
              <w:start w:w="120" w:type="dxa"/>
              <w:end w:w="120" w:type="dxa"/>
            </w:tcMar>
          </w:tcPr>
          <w:p>
            <w:pPr>
              <w:spacing w:before="0" w:after="0" w:line="252" w:lineRule="auto"/>
              <w:jc w:val="left"/>
            </w:pPr>
            <w:r/>
            <w:r>
              <w:rPr>
                <w:rFonts w:ascii="Calibri" w:hAnsi="Calibri"/>
                <w:b w:val="0"/>
                <w:i w:val="0"/>
                <w:color w:val="000000"/>
                <w:sz w:val="18"/>
              </w:rPr>
              <w:t>Month-on-month diagnosis</w:t>
            </w:r>
          </w:p>
        </w:tc>
        <w:tc>
          <w:tcPr>
            <w:tcW w:type="dxa" w:w="2860"/>
            <w:vAlign w:val="center"/>
            <w:tcMar>
              <w:top w:w="80" w:type="dxa"/>
              <w:bottom w:w="80" w:type="dxa"/>
              <w:start w:w="120" w:type="dxa"/>
              <w:end w:w="120" w:type="dxa"/>
            </w:tcMar>
          </w:tcPr>
          <w:p>
            <w:pPr>
              <w:spacing w:before="0" w:after="0" w:line="252" w:lineRule="auto"/>
              <w:jc w:val="left"/>
            </w:pPr>
            <w:r/>
            <w:r>
              <w:rPr>
                <w:rFonts w:ascii="Calibri" w:hAnsi="Calibri"/>
                <w:b w:val="0"/>
                <w:i w:val="0"/>
                <w:color w:val="000000"/>
                <w:sz w:val="18"/>
              </w:rPr>
              <w:t>15%</w:t>
            </w:r>
          </w:p>
        </w:tc>
      </w:tr>
      <w:tr>
        <w:trPr/>
        <w:tc>
          <w:tcPr>
            <w:tcW w:type="dxa" w:w="6500"/>
            <w:vAlign w:val="center"/>
            <w:tcMar>
              <w:top w:w="80" w:type="dxa"/>
              <w:bottom w:w="80" w:type="dxa"/>
              <w:start w:w="120" w:type="dxa"/>
              <w:end w:w="120" w:type="dxa"/>
            </w:tcMar>
          </w:tcPr>
          <w:p>
            <w:pPr>
              <w:spacing w:before="0" w:after="0" w:line="252" w:lineRule="auto"/>
              <w:jc w:val="left"/>
            </w:pPr>
            <w:r/>
            <w:r>
              <w:rPr>
                <w:rFonts w:ascii="Calibri" w:hAnsi="Calibri"/>
                <w:b w:val="0"/>
                <w:i w:val="0"/>
                <w:color w:val="000000"/>
                <w:sz w:val="18"/>
              </w:rPr>
              <w:t>Business interpretation and next action</w:t>
            </w:r>
          </w:p>
        </w:tc>
        <w:tc>
          <w:tcPr>
            <w:tcW w:type="dxa" w:w="2860"/>
            <w:vAlign w:val="center"/>
            <w:tcMar>
              <w:top w:w="80" w:type="dxa"/>
              <w:bottom w:w="80" w:type="dxa"/>
              <w:start w:w="120" w:type="dxa"/>
              <w:end w:w="120" w:type="dxa"/>
            </w:tcMar>
          </w:tcPr>
          <w:p>
            <w:pPr>
              <w:spacing w:before="0" w:after="0" w:line="252" w:lineRule="auto"/>
              <w:jc w:val="left"/>
            </w:pPr>
            <w:r/>
            <w:r>
              <w:rPr>
                <w:rFonts w:ascii="Calibri" w:hAnsi="Calibri"/>
                <w:b w:val="0"/>
                <w:i w:val="0"/>
                <w:color w:val="000000"/>
                <w:sz w:val="18"/>
              </w:rPr>
              <w:t>15%</w:t>
            </w:r>
          </w:p>
        </w:tc>
      </w:tr>
      <w:tr>
        <w:trPr/>
        <w:tc>
          <w:tcPr>
            <w:tcW w:type="dxa" w:w="6500"/>
            <w:vAlign w:val="center"/>
            <w:tcMar>
              <w:top w:w="80" w:type="dxa"/>
              <w:bottom w:w="80" w:type="dxa"/>
              <w:start w:w="120" w:type="dxa"/>
              <w:end w:w="120" w:type="dxa"/>
            </w:tcMar>
          </w:tcPr>
          <w:p>
            <w:pPr>
              <w:spacing w:before="0" w:after="0" w:line="252" w:lineRule="auto"/>
              <w:jc w:val="left"/>
            </w:pPr>
            <w:r/>
            <w:r>
              <w:rPr>
                <w:rFonts w:ascii="Calibri" w:hAnsi="Calibri"/>
                <w:b w:val="0"/>
                <w:i w:val="0"/>
                <w:color w:val="000000"/>
                <w:sz w:val="18"/>
              </w:rPr>
              <w:t>Communication</w:t>
            </w:r>
          </w:p>
        </w:tc>
        <w:tc>
          <w:tcPr>
            <w:tcW w:type="dxa" w:w="2860"/>
            <w:vAlign w:val="center"/>
            <w:tcMar>
              <w:top w:w="80" w:type="dxa"/>
              <w:bottom w:w="80" w:type="dxa"/>
              <w:start w:w="120" w:type="dxa"/>
              <w:end w:w="120" w:type="dxa"/>
            </w:tcMar>
          </w:tcPr>
          <w:p>
            <w:pPr>
              <w:spacing w:before="0" w:after="0" w:line="252" w:lineRule="auto"/>
              <w:jc w:val="left"/>
            </w:pPr>
            <w:r/>
            <w:r>
              <w:rPr>
                <w:rFonts w:ascii="Calibri" w:hAnsi="Calibri"/>
                <w:b w:val="0"/>
                <w:i w:val="0"/>
                <w:color w:val="000000"/>
                <w:sz w:val="18"/>
              </w:rPr>
              <w:t>10%</w:t>
            </w:r>
          </w:p>
        </w:tc>
      </w:tr>
      <w:tr>
        <w:trPr/>
        <w:tc>
          <w:tcPr>
            <w:tcW w:type="dxa" w:w="6500"/>
            <w:vAlign w:val="center"/>
            <w:tcMar>
              <w:top w:w="80" w:type="dxa"/>
              <w:bottom w:w="80" w:type="dxa"/>
              <w:start w:w="120" w:type="dxa"/>
              <w:end w:w="120" w:type="dxa"/>
            </w:tcMar>
          </w:tcPr>
          <w:p>
            <w:pPr>
              <w:spacing w:before="0" w:after="0" w:line="252" w:lineRule="auto"/>
              <w:jc w:val="left"/>
            </w:pPr>
            <w:r/>
            <w:r>
              <w:rPr>
                <w:rFonts w:ascii="Calibri" w:hAnsi="Calibri"/>
                <w:b w:val="0"/>
                <w:i w:val="0"/>
                <w:color w:val="000000"/>
                <w:sz w:val="18"/>
              </w:rPr>
              <w:t>AI-use transparency and ownership</w:t>
            </w:r>
          </w:p>
        </w:tc>
        <w:tc>
          <w:tcPr>
            <w:tcW w:type="dxa" w:w="2860"/>
            <w:vAlign w:val="center"/>
            <w:tcMar>
              <w:top w:w="80" w:type="dxa"/>
              <w:bottom w:w="80" w:type="dxa"/>
              <w:start w:w="120" w:type="dxa"/>
              <w:end w:w="120" w:type="dxa"/>
            </w:tcMar>
          </w:tcPr>
          <w:p>
            <w:pPr>
              <w:spacing w:before="0" w:after="0" w:line="252" w:lineRule="auto"/>
              <w:jc w:val="left"/>
            </w:pPr>
            <w:r/>
            <w:r>
              <w:rPr>
                <w:rFonts w:ascii="Calibri" w:hAnsi="Calibri"/>
                <w:b w:val="0"/>
                <w:i w:val="0"/>
                <w:color w:val="000000"/>
                <w:sz w:val="18"/>
              </w:rPr>
              <w:t>5%</w:t>
            </w:r>
          </w:p>
        </w:tc>
      </w:tr>
    </w:tbl>
    <w:p>
      <w:pPr>
        <w:spacing w:after="20"/>
      </w:pPr>
    </w:p>
    <w:tbl>
      <w:tblPr>
        <w:tblW w:type="dxa" w:w="9360"/>
        <w:jc w:val="left"/>
        <w:tblLayout w:type="fixed"/>
        <w:tblLook w:firstColumn="1" w:firstRow="1" w:lastColumn="0" w:lastRow="0" w:noHBand="0" w:noVBand="1" w:val="04A0"/>
        <w:tblInd w:type="dxa" w:w="120"/>
      </w:tblPr>
      <w:tblGrid>
        <w:gridCol w:w="9360"/>
      </w:tblGrid>
      <w:tr>
        <w:trPr/>
        <w:tc>
          <w:tcPr>
            <w:tcW w:type="dxa" w:w="9360"/>
            <w:shd w:fill="E8EEF5"/>
            <w:tcMar>
              <w:top w:w="80" w:type="dxa"/>
              <w:bottom w:w="80" w:type="dxa"/>
              <w:start w:w="120" w:type="dxa"/>
              <w:end w:w="120" w:type="dxa"/>
            </w:tcMar>
          </w:tcPr>
          <w:p>
            <w:pPr>
              <w:spacing w:before="40" w:after="40"/>
            </w:pPr>
            <w:r/>
            <w:r>
              <w:rPr>
                <w:rFonts w:ascii="Calibri" w:hAnsi="Calibri"/>
                <w:b/>
                <w:i w:val="0"/>
                <w:color w:val="0B2545"/>
                <w:sz w:val="21"/>
              </w:rPr>
              <w:t xml:space="preserve">Live defence: </w:t>
            </w:r>
            <w:r>
              <w:rPr>
                <w:rFonts w:ascii="Calibri" w:hAnsi="Calibri"/>
                <w:b w:val="0"/>
                <w:i w:val="0"/>
                <w:color w:val="000000"/>
                <w:sz w:val="21"/>
              </w:rPr>
              <w:t>Shortlisted candidates will rerun the pipeline, explain a material function, make a small code change and defend one business conclusion. You should understand every part of your submission.</w:t>
            </w:r>
          </w:p>
        </w:tc>
      </w:tr>
    </w:tbl>
    <w:p>
      <w:pPr>
        <w:spacing w:after="20"/>
      </w:pPr>
    </w:p>
    <w:sectPr w:rsidR="00FC693F" w:rsidRPr="0006063C" w:rsidSect="00034616">
      <w:headerReference w:type="default" r:id="rId9"/>
      <w:footerReference w:type="default" r:id="rId10"/>
      <w:pgSz w:w="12240" w:h="15840"/>
      <w:pgMar w:top="1123" w:right="1238" w:bottom="1123" w:left="1238"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b w:val="0"/>
        <w:i w:val="0"/>
        <w:color w:val="5A6370"/>
        <w:sz w:val="17"/>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val="0"/>
        <w:i w:val="0"/>
        <w:color w:val="5A6370"/>
        <w:sz w:val="17"/>
      </w:rPr>
      <w:t>Data Analyst Assignment | AsterVale Case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9" w:lineRule="auto"/>
      <w:ind w:left="720" w:hanging="36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59" w:lineRule="auto"/>
      <w:ind w:left="720" w:hanging="36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Kasparro</dc:creator>
  <cp:keywords/>
  <dc:description>Fictional hiring assessment</dc:description>
  <cp:lastModifiedBy/>
  <cp:revision>1</cp:revision>
  <dcterms:created xsi:type="dcterms:W3CDTF">2013-12-23T23:15:00Z</dcterms:created>
  <dcterms:modified xsi:type="dcterms:W3CDTF">2013-12-23T23:15:00Z</dcterms:modified>
  <cp:category/>
</cp:coreProperties>
</file>