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0C92E">
      <w:pPr>
        <w:spacing w:after="0" w:line="259" w:lineRule="auto"/>
        <w:ind w:left="1433"/>
        <w:rPr>
          <w:rFonts w:ascii="Times New Roman" w:hAnsi="Times New Roman" w:cs="Times New Roman"/>
          <w:szCs w:val="24"/>
        </w:rPr>
      </w:pPr>
      <w:r>
        <w:rPr>
          <w:rFonts w:ascii="Times New Roman" w:hAnsi="Times New Roman" w:cs="Times New Roman"/>
          <w:sz w:val="24"/>
          <w:szCs w:val="24"/>
          <w:lang w:val="en-IN" w:eastAsia="en-IN"/>
        </w:rPr>
        <w:drawing>
          <wp:anchor distT="0" distB="0" distL="114300" distR="114300" simplePos="0" relativeHeight="251659264" behindDoc="0" locked="0" layoutInCell="1" allowOverlap="1">
            <wp:simplePos x="0" y="0"/>
            <wp:positionH relativeFrom="column">
              <wp:posOffset>3187065</wp:posOffset>
            </wp:positionH>
            <wp:positionV relativeFrom="paragraph">
              <wp:posOffset>-259715</wp:posOffset>
            </wp:positionV>
            <wp:extent cx="494665" cy="687705"/>
            <wp:effectExtent l="0" t="0" r="0" b="0"/>
            <wp:wrapNone/>
            <wp:docPr id="1" name="Picture 1" descr="Indian Council of Social Science Research Recruitment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ndian Council of Social Science Research Recruitment 20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94665" cy="687705"/>
                    </a:xfrm>
                    <a:prstGeom prst="rect">
                      <a:avLst/>
                    </a:prstGeom>
                    <a:noFill/>
                    <a:ln>
                      <a:noFill/>
                    </a:ln>
                  </pic:spPr>
                </pic:pic>
              </a:graphicData>
            </a:graphic>
          </wp:anchor>
        </w:drawing>
      </w:r>
    </w:p>
    <w:p w14:paraId="4502DADA">
      <w:pPr>
        <w:spacing w:after="0" w:line="259" w:lineRule="auto"/>
        <w:ind w:left="1433"/>
        <w:jc w:val="center"/>
        <w:rPr>
          <w:rFonts w:ascii="Times New Roman" w:hAnsi="Times New Roman" w:cs="Times New Roman"/>
          <w:b/>
        </w:rPr>
      </w:pPr>
      <w:r>
        <w:rPr>
          <w:rFonts w:ascii="Times New Roman" w:hAnsi="Times New Roman" w:cs="Times New Roman"/>
        </w:rPr>
        <w:t xml:space="preserve">  </w:t>
      </w:r>
    </w:p>
    <w:p w14:paraId="1992C1AD">
      <w:pPr>
        <w:spacing w:after="0" w:line="259" w:lineRule="auto"/>
        <w:ind w:left="1433"/>
        <w:jc w:val="center"/>
        <w:rPr>
          <w:rFonts w:ascii="Times New Roman" w:hAnsi="Times New Roman" w:cs="Times New Roman"/>
          <w:b/>
        </w:rPr>
      </w:pPr>
    </w:p>
    <w:p w14:paraId="2E1CD394">
      <w:pPr>
        <w:spacing w:after="0" w:line="259" w:lineRule="auto"/>
        <w:jc w:val="center"/>
        <w:rPr>
          <w:rFonts w:ascii="Times New Roman" w:hAnsi="Times New Roman" w:cs="Times New Roman"/>
          <w:b/>
          <w:sz w:val="28"/>
        </w:rPr>
      </w:pPr>
      <w:r>
        <w:rPr>
          <w:rFonts w:ascii="Times New Roman" w:hAnsi="Times New Roman" w:cs="Times New Roman"/>
          <w:b/>
          <w:sz w:val="28"/>
        </w:rPr>
        <w:t>INDIAN COUNCIL OF SOCIAL SCIENCE RESEARCH</w:t>
      </w:r>
    </w:p>
    <w:p w14:paraId="22EDA46B">
      <w:pPr>
        <w:spacing w:after="0" w:line="259" w:lineRule="auto"/>
        <w:ind w:left="1433"/>
        <w:rPr>
          <w:rFonts w:ascii="Times New Roman" w:hAnsi="Times New Roman" w:cs="Times New Roman"/>
        </w:rPr>
      </w:pPr>
      <w:bookmarkStart w:id="0" w:name="_Hlk208502708"/>
      <w:r>
        <w:rPr>
          <w:rFonts w:ascii="Times New Roman" w:hAnsi="Times New Roman" w:cs="Times New Roman"/>
          <w:b/>
          <w:sz w:val="28"/>
        </w:rPr>
        <w:t xml:space="preserve">                                Research Projects Division</w:t>
      </w:r>
    </w:p>
    <w:bookmarkEnd w:id="0"/>
    <w:p w14:paraId="53520E5D">
      <w:pPr>
        <w:jc w:val="both"/>
        <w:rPr>
          <w:rFonts w:ascii="Times New Roman" w:hAnsi="Times New Roman" w:cs="Times New Roman"/>
          <w:b/>
          <w:bCs/>
          <w:color w:val="215F9A" w:themeColor="text2" w:themeTint="BF"/>
          <w14:textFill>
            <w14:solidFill>
              <w14:schemeClr w14:val="tx2">
                <w14:lumMod w14:val="75000"/>
                <w14:lumOff w14:val="25000"/>
              </w14:schemeClr>
            </w14:solidFill>
          </w14:textFill>
        </w:rPr>
      </w:pPr>
      <w:r>
        <w:rPr>
          <w:rFonts w:ascii="Times New Roman" w:hAnsi="Times New Roman" w:cs="Times New Roman"/>
          <w:b/>
          <w:bCs/>
          <w:color w:val="215F9A" w:themeColor="text2" w:themeTint="BF"/>
          <w14:textFill>
            <w14:solidFill>
              <w14:schemeClr w14:val="tx2">
                <w14:lumMod w14:val="75000"/>
                <w14:lumOff w14:val="25000"/>
              </w14:schemeClr>
            </w14:solidFill>
          </w14:textFill>
        </w:rPr>
        <w:t>Proposal Format –ICSSR Call for Research Projects on “Family and Family Systems in India” -(2025-26)</w:t>
      </w:r>
    </w:p>
    <w:p w14:paraId="7397D271">
      <w:pPr>
        <w:pStyle w:val="14"/>
        <w:spacing w:line="360" w:lineRule="auto"/>
        <w:jc w:val="both"/>
        <w:rPr>
          <w:rStyle w:val="15"/>
          <w:b w:val="0"/>
          <w:bCs w:val="0"/>
          <w:u w:val="single"/>
        </w:rPr>
      </w:pPr>
      <w:r>
        <w:rPr>
          <w:b/>
          <w:bCs/>
          <w:u w:val="single"/>
        </w:rPr>
        <w:t>Note: Applicants must adhere to the word limit specified in each section, and any deviation from the prescribed ICSSR proposal format will result in the cancellation of the application.</w:t>
      </w:r>
    </w:p>
    <w:tbl>
      <w:tblPr>
        <w:tblStyle w:val="17"/>
        <w:tblW w:w="10774"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3403"/>
        <w:gridCol w:w="1438"/>
        <w:gridCol w:w="10"/>
        <w:gridCol w:w="2166"/>
        <w:gridCol w:w="5"/>
        <w:gridCol w:w="2680"/>
        <w:gridCol w:w="147"/>
      </w:tblGrid>
      <w:tr w14:paraId="0A67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4463" w:type="dxa"/>
            <w:gridSpan w:val="2"/>
          </w:tcPr>
          <w:p w14:paraId="2271210E">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Application number</w:t>
            </w:r>
          </w:p>
          <w:p w14:paraId="690DCE0E">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(To be noted down from the online application)</w:t>
            </w:r>
          </w:p>
        </w:tc>
        <w:tc>
          <w:tcPr>
            <w:tcW w:w="6311" w:type="dxa"/>
            <w:gridSpan w:val="6"/>
          </w:tcPr>
          <w:p w14:paraId="51A6E339">
            <w:pPr>
              <w:rPr>
                <w:rFonts w:hint="default" w:ascii="Times New Roman" w:hAnsi="Times New Roman" w:cs="Times New Roman"/>
                <w:b w:val="0"/>
                <w:bCs w:val="0"/>
                <w:i w:val="0"/>
                <w:iCs w:val="0"/>
                <w:color w:val="auto"/>
                <w:sz w:val="24"/>
                <w:szCs w:val="24"/>
              </w:rPr>
            </w:pPr>
          </w:p>
        </w:tc>
      </w:tr>
      <w:tr w14:paraId="75E06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4463" w:type="dxa"/>
            <w:gridSpan w:val="2"/>
          </w:tcPr>
          <w:p w14:paraId="3365AF33">
            <w:pPr>
              <w:rPr>
                <w:rFonts w:hint="default" w:ascii="Times New Roman" w:hAnsi="Times New Roman" w:cs="Times New Roman"/>
                <w:b w:val="0"/>
                <w:bCs w:val="0"/>
                <w:i w:val="0"/>
                <w:iCs w:val="0"/>
                <w:color w:val="auto"/>
                <w:sz w:val="24"/>
                <w:szCs w:val="24"/>
              </w:rPr>
            </w:pPr>
          </w:p>
          <w:p w14:paraId="4E60E341">
            <w:pPr>
              <w:rPr>
                <w:rFonts w:hint="default" w:ascii="Times New Roman" w:hAnsi="Times New Roman" w:cs="Times New Roman"/>
                <w:b w:val="0"/>
                <w:bCs w:val="0"/>
                <w:i w:val="0"/>
                <w:iCs w:val="0"/>
                <w:color w:val="auto"/>
                <w:sz w:val="24"/>
                <w:szCs w:val="24"/>
              </w:rPr>
            </w:pPr>
          </w:p>
        </w:tc>
        <w:tc>
          <w:tcPr>
            <w:tcW w:w="6311" w:type="dxa"/>
            <w:gridSpan w:val="6"/>
          </w:tcPr>
          <w:p w14:paraId="1AC910A9">
            <w:pPr>
              <w:keepNext w:val="0"/>
              <w:keepLines w:val="0"/>
              <w:widowControl/>
              <w:suppressLineNumbers w:val="0"/>
              <w:jc w:val="left"/>
              <w:rPr>
                <w:rFonts w:hint="default" w:ascii="Times New Roman" w:hAnsi="Times New Roman" w:cs="Times New Roman"/>
                <w:b w:val="0"/>
                <w:bCs w:val="0"/>
                <w:i w:val="0"/>
                <w:iCs w:val="0"/>
                <w:color w:val="auto"/>
                <w:sz w:val="24"/>
                <w:szCs w:val="24"/>
              </w:rPr>
            </w:pPr>
            <w:r>
              <w:rPr>
                <w:rFonts w:hint="default" w:ascii="Times New Roman" w:hAnsi="Times New Roman" w:eastAsia="TimesNewRomanPS-BoldMT" w:cs="Times New Roman"/>
                <w:b w:val="0"/>
                <w:bCs w:val="0"/>
                <w:i w:val="0"/>
                <w:iCs w:val="0"/>
                <w:color w:val="auto"/>
                <w:kern w:val="0"/>
                <w:sz w:val="24"/>
                <w:szCs w:val="24"/>
                <w:lang w:val="en-US" w:eastAsia="zh-CN" w:bidi="ar"/>
                <w14:ligatures w14:val="none"/>
              </w:rPr>
              <w:t>Roles, Relationships, and Practices</w:t>
            </w:r>
          </w:p>
          <w:p w14:paraId="5EFEF3EB">
            <w:pPr>
              <w:pStyle w:val="32"/>
              <w:spacing w:line="360" w:lineRule="auto"/>
              <w:ind w:left="1440"/>
              <w:rPr>
                <w:rFonts w:hint="default" w:ascii="Times New Roman" w:hAnsi="Times New Roman" w:cs="Times New Roman"/>
                <w:b w:val="0"/>
                <w:bCs w:val="0"/>
                <w:i w:val="0"/>
                <w:iCs w:val="0"/>
                <w:color w:val="auto"/>
                <w:sz w:val="24"/>
                <w:szCs w:val="24"/>
              </w:rPr>
            </w:pPr>
          </w:p>
        </w:tc>
      </w:tr>
      <w:tr w14:paraId="46FC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4463" w:type="dxa"/>
            <w:gridSpan w:val="2"/>
          </w:tcPr>
          <w:p w14:paraId="507D7794">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Sub-theme</w:t>
            </w:r>
          </w:p>
        </w:tc>
        <w:tc>
          <w:tcPr>
            <w:tcW w:w="6311" w:type="dxa"/>
            <w:gridSpan w:val="6"/>
          </w:tcPr>
          <w:p w14:paraId="5E86AC79">
            <w:pPr>
              <w:keepNext w:val="0"/>
              <w:keepLines w:val="0"/>
              <w:widowControl/>
              <w:suppressLineNumbers w:val="0"/>
              <w:jc w:val="left"/>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14:ligatures w14:val="none"/>
              </w:rPr>
              <w:t>Gender Dynamics and the Role of Women in Preserving Family Culture</w:t>
            </w:r>
          </w:p>
          <w:p w14:paraId="78614766">
            <w:pPr>
              <w:spacing w:after="160" w:line="278" w:lineRule="auto"/>
              <w:ind w:left="1440"/>
              <w:rPr>
                <w:rFonts w:hint="default" w:ascii="Times New Roman" w:hAnsi="Times New Roman" w:cs="Times New Roman"/>
                <w:b w:val="0"/>
                <w:bCs w:val="0"/>
                <w:i w:val="0"/>
                <w:iCs w:val="0"/>
                <w:color w:val="auto"/>
                <w:sz w:val="24"/>
                <w:szCs w:val="24"/>
              </w:rPr>
            </w:pPr>
          </w:p>
        </w:tc>
      </w:tr>
      <w:tr w14:paraId="3948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953" w:type="dxa"/>
          </w:tcPr>
          <w:p w14:paraId="28F76D59">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372AB7CA">
            <w:pPr>
              <w:rPr>
                <w:rFonts w:hint="default" w:ascii="Times New Roman" w:hAnsi="Times New Roman" w:cs="Times New Roman"/>
                <w:b w:val="0"/>
                <w:bCs w:val="0"/>
                <w:i w:val="0"/>
                <w:iCs w:val="0"/>
                <w:color w:val="auto"/>
                <w:sz w:val="24"/>
                <w:szCs w:val="24"/>
                <w:lang w:val="en-US"/>
              </w:rPr>
            </w:pPr>
            <w:r>
              <w:rPr>
                <w:rFonts w:hint="default" w:ascii="Times New Roman" w:hAnsi="Times New Roman" w:cs="Times New Roman"/>
                <w:b w:val="0"/>
                <w:bCs w:val="0"/>
                <w:i w:val="0"/>
                <w:iCs w:val="0"/>
                <w:color w:val="auto"/>
                <w:sz w:val="24"/>
                <w:szCs w:val="24"/>
              </w:rPr>
              <w:t>Title of the Research</w:t>
            </w:r>
            <w:r>
              <w:rPr>
                <w:rFonts w:hint="default" w:ascii="Times New Roman" w:hAnsi="Times New Roman" w:cs="Times New Roman"/>
                <w:b w:val="0"/>
                <w:bCs w:val="0"/>
                <w:i w:val="0"/>
                <w:iCs w:val="0"/>
                <w:color w:val="auto"/>
                <w:sz w:val="24"/>
                <w:szCs w:val="24"/>
                <w:lang w:val="en-US"/>
              </w:rPr>
              <w:t xml:space="preserve"> </w:t>
            </w:r>
          </w:p>
          <w:p w14:paraId="7CD98CA8">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 Proposal </w:t>
            </w:r>
          </w:p>
        </w:tc>
        <w:tc>
          <w:tcPr>
            <w:tcW w:w="6311" w:type="dxa"/>
            <w:gridSpan w:val="6"/>
          </w:tcPr>
          <w:p w14:paraId="40F605CA">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Ladli Bahna Yojana as a Catalyst for Strengthening Gender Roles and Women’s Contribution to Preserving Family Culture</w:t>
            </w:r>
          </w:p>
        </w:tc>
      </w:tr>
      <w:tr w14:paraId="3232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6" w:hRule="atLeast"/>
        </w:trPr>
        <w:tc>
          <w:tcPr>
            <w:tcW w:w="953" w:type="dxa"/>
          </w:tcPr>
          <w:p w14:paraId="3AF2F1E2">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15364A57">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Abstract </w:t>
            </w:r>
          </w:p>
          <w:p w14:paraId="1AA840DC">
            <w:pPr>
              <w:spacing w:line="240" w:lineRule="auto"/>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(approx. 500 words)</w:t>
            </w:r>
          </w:p>
          <w:p w14:paraId="5ECE99E9">
            <w:pPr>
              <w:spacing w:line="240" w:lineRule="auto"/>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(Brief overview including objectives, significance, methodology, and expected outcomes)</w:t>
            </w:r>
          </w:p>
        </w:tc>
        <w:tc>
          <w:tcPr>
            <w:tcW w:w="6311" w:type="dxa"/>
            <w:gridSpan w:val="6"/>
          </w:tcPr>
          <w:p w14:paraId="5854FA09">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w:t>
            </w:r>
            <w:r>
              <w:rPr>
                <w:rStyle w:val="13"/>
                <w:rFonts w:hint="default" w:ascii="Times New Roman" w:hAnsi="Times New Roman" w:cs="Times New Roman"/>
                <w:b w:val="0"/>
                <w:bCs w:val="0"/>
                <w:color w:val="auto"/>
                <w:sz w:val="24"/>
                <w:szCs w:val="24"/>
              </w:rPr>
              <w:t>Ladli Bahna Yojana</w:t>
            </w:r>
            <w:r>
              <w:rPr>
                <w:rFonts w:hint="default" w:ascii="Times New Roman" w:hAnsi="Times New Roman" w:cs="Times New Roman"/>
                <w:b w:val="0"/>
                <w:bCs w:val="0"/>
                <w:color w:val="auto"/>
                <w:sz w:val="24"/>
                <w:szCs w:val="24"/>
              </w:rPr>
              <w:t xml:space="preserve">, introduced by the Government of Madhya Pradesh, is widely acknowledged as a major policy effort to enhance women’s financial empowerment. Yet, beyond its economic benefits, this study examines the scheme as a </w:t>
            </w:r>
            <w:r>
              <w:rPr>
                <w:rStyle w:val="13"/>
                <w:rFonts w:hint="default" w:ascii="Times New Roman" w:hAnsi="Times New Roman" w:cs="Times New Roman"/>
                <w:b w:val="0"/>
                <w:bCs w:val="0"/>
                <w:color w:val="auto"/>
                <w:sz w:val="24"/>
                <w:szCs w:val="24"/>
              </w:rPr>
              <w:t>cultural catalyst</w:t>
            </w:r>
            <w:r>
              <w:rPr>
                <w:rFonts w:hint="default" w:ascii="Times New Roman" w:hAnsi="Times New Roman" w:cs="Times New Roman"/>
                <w:b w:val="0"/>
                <w:bCs w:val="0"/>
                <w:color w:val="auto"/>
                <w:sz w:val="24"/>
                <w:szCs w:val="24"/>
              </w:rPr>
              <w:t xml:space="preserve"> that strengthens women’s familial authority and preserves intergenerational values. The central objective of the proposed research is to analyze how financial autonomy acquired through the scheme enhances women’s </w:t>
            </w:r>
            <w:r>
              <w:rPr>
                <w:rStyle w:val="13"/>
                <w:rFonts w:hint="default" w:ascii="Times New Roman" w:hAnsi="Times New Roman" w:cs="Times New Roman"/>
                <w:b w:val="0"/>
                <w:bCs w:val="0"/>
                <w:color w:val="auto"/>
                <w:sz w:val="24"/>
                <w:szCs w:val="24"/>
              </w:rPr>
              <w:t>cultural authority</w:t>
            </w:r>
            <w:r>
              <w:rPr>
                <w:rFonts w:hint="default" w:ascii="Times New Roman" w:hAnsi="Times New Roman" w:cs="Times New Roman"/>
                <w:b w:val="0"/>
                <w:bCs w:val="0"/>
                <w:color w:val="auto"/>
                <w:sz w:val="24"/>
                <w:szCs w:val="24"/>
              </w:rPr>
              <w:t xml:space="preserve">, </w:t>
            </w:r>
            <w:r>
              <w:rPr>
                <w:rStyle w:val="13"/>
                <w:rFonts w:hint="default" w:ascii="Times New Roman" w:hAnsi="Times New Roman" w:cs="Times New Roman"/>
                <w:b w:val="0"/>
                <w:bCs w:val="0"/>
                <w:color w:val="auto"/>
                <w:sz w:val="24"/>
                <w:szCs w:val="24"/>
              </w:rPr>
              <w:t>decision-making agency</w:t>
            </w:r>
            <w:r>
              <w:rPr>
                <w:rFonts w:hint="default" w:ascii="Times New Roman" w:hAnsi="Times New Roman" w:cs="Times New Roman"/>
                <w:b w:val="0"/>
                <w:bCs w:val="0"/>
                <w:color w:val="auto"/>
                <w:sz w:val="24"/>
                <w:szCs w:val="24"/>
              </w:rPr>
              <w:t xml:space="preserve">, and </w:t>
            </w:r>
            <w:r>
              <w:rPr>
                <w:rStyle w:val="13"/>
                <w:rFonts w:hint="default" w:ascii="Times New Roman" w:hAnsi="Times New Roman" w:cs="Times New Roman"/>
                <w:b w:val="0"/>
                <w:bCs w:val="0"/>
                <w:color w:val="auto"/>
                <w:sz w:val="24"/>
                <w:szCs w:val="24"/>
              </w:rPr>
              <w:t>psychological empowerment</w:t>
            </w:r>
            <w:r>
              <w:rPr>
                <w:rFonts w:hint="default" w:ascii="Times New Roman" w:hAnsi="Times New Roman" w:cs="Times New Roman"/>
                <w:b w:val="0"/>
                <w:bCs w:val="0"/>
                <w:color w:val="auto"/>
                <w:sz w:val="24"/>
                <w:szCs w:val="24"/>
              </w:rPr>
              <w:t xml:space="preserve"> within the family system. A secondary objective is to critically assess whether state-led financial inclusion can serve as a sustainable and culturally rooted model of gender empowerment, bridging economic progress with traditional value systems.</w:t>
            </w:r>
          </w:p>
          <w:p w14:paraId="193B8AF6">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study is anchored primarily in </w:t>
            </w:r>
            <w:r>
              <w:rPr>
                <w:rStyle w:val="15"/>
                <w:rFonts w:hint="default" w:ascii="Times New Roman" w:hAnsi="Times New Roman" w:cs="Times New Roman"/>
                <w:b w:val="0"/>
                <w:bCs w:val="0"/>
                <w:color w:val="auto"/>
                <w:sz w:val="24"/>
                <w:szCs w:val="24"/>
              </w:rPr>
              <w:t>Amartya Sen’s Capability Approach</w:t>
            </w:r>
            <w:r>
              <w:rPr>
                <w:rFonts w:hint="default" w:ascii="Times New Roman" w:hAnsi="Times New Roman" w:cs="Times New Roman"/>
                <w:b w:val="0"/>
                <w:bCs w:val="0"/>
                <w:color w:val="auto"/>
                <w:sz w:val="24"/>
                <w:szCs w:val="24"/>
              </w:rPr>
              <w:t xml:space="preserve"> and </w:t>
            </w:r>
            <w:r>
              <w:rPr>
                <w:rStyle w:val="15"/>
                <w:rFonts w:hint="default" w:ascii="Times New Roman" w:hAnsi="Times New Roman" w:cs="Times New Roman"/>
                <w:b w:val="0"/>
                <w:bCs w:val="0"/>
                <w:color w:val="auto"/>
                <w:sz w:val="24"/>
                <w:szCs w:val="24"/>
              </w:rPr>
              <w:t>Symbolic Interactionism</w:t>
            </w:r>
            <w:r>
              <w:rPr>
                <w:rFonts w:hint="default" w:ascii="Times New Roman" w:hAnsi="Times New Roman" w:cs="Times New Roman"/>
                <w:b w:val="0"/>
                <w:bCs w:val="0"/>
                <w:color w:val="auto"/>
                <w:sz w:val="24"/>
                <w:szCs w:val="24"/>
              </w:rPr>
              <w:t xml:space="preserve">, supported by insights from </w:t>
            </w:r>
            <w:r>
              <w:rPr>
                <w:rStyle w:val="15"/>
                <w:rFonts w:hint="default" w:ascii="Times New Roman" w:hAnsi="Times New Roman" w:cs="Times New Roman"/>
                <w:b w:val="0"/>
                <w:bCs w:val="0"/>
                <w:color w:val="auto"/>
                <w:sz w:val="24"/>
                <w:szCs w:val="24"/>
              </w:rPr>
              <w:t>Role Theory</w:t>
            </w:r>
            <w:r>
              <w:rPr>
                <w:rFonts w:hint="default" w:ascii="Times New Roman" w:hAnsi="Times New Roman" w:cs="Times New Roman"/>
                <w:b w:val="0"/>
                <w:bCs w:val="0"/>
                <w:color w:val="auto"/>
                <w:sz w:val="24"/>
                <w:szCs w:val="24"/>
              </w:rPr>
              <w:t xml:space="preserve"> and </w:t>
            </w:r>
            <w:r>
              <w:rPr>
                <w:rStyle w:val="15"/>
                <w:rFonts w:hint="default" w:ascii="Times New Roman" w:hAnsi="Times New Roman" w:cs="Times New Roman"/>
                <w:b w:val="0"/>
                <w:bCs w:val="0"/>
                <w:color w:val="auto"/>
                <w:sz w:val="24"/>
                <w:szCs w:val="24"/>
              </w:rPr>
              <w:t>Feminist Care Ethics</w:t>
            </w:r>
            <w:r>
              <w:rPr>
                <w:rFonts w:hint="default" w:ascii="Times New Roman" w:hAnsi="Times New Roman" w:cs="Times New Roman"/>
                <w:b w:val="0"/>
                <w:bCs w:val="0"/>
                <w:color w:val="auto"/>
                <w:sz w:val="24"/>
                <w:szCs w:val="24"/>
              </w:rPr>
              <w:t xml:space="preserve">. Sen’s framework conceptualizes empowerment as an expansion of women’s real freedoms and choices—enabling them to participate actively in education, health, and religious life. Symbolic Interactionism provides a lens to interpret how these shifts translate into transformed family interactions and social identities. Within this framework, </w:t>
            </w:r>
            <w:r>
              <w:rPr>
                <w:rStyle w:val="13"/>
                <w:rFonts w:hint="default" w:ascii="Times New Roman" w:hAnsi="Times New Roman" w:cs="Times New Roman"/>
                <w:b w:val="0"/>
                <w:bCs w:val="0"/>
                <w:color w:val="auto"/>
                <w:sz w:val="24"/>
                <w:szCs w:val="24"/>
              </w:rPr>
              <w:t>cultural authority</w:t>
            </w:r>
            <w:r>
              <w:rPr>
                <w:rFonts w:hint="default" w:ascii="Times New Roman" w:hAnsi="Times New Roman" w:cs="Times New Roman"/>
                <w:b w:val="0"/>
                <w:bCs w:val="0"/>
                <w:color w:val="auto"/>
                <w:sz w:val="24"/>
                <w:szCs w:val="24"/>
              </w:rPr>
              <w:t xml:space="preserve"> will be operationalized through women’s influence over key family decisions such as children’s education, religious ceremonies, and marriage alliances. </w:t>
            </w:r>
            <w:r>
              <w:rPr>
                <w:rStyle w:val="13"/>
                <w:rFonts w:hint="default" w:ascii="Times New Roman" w:hAnsi="Times New Roman" w:cs="Times New Roman"/>
                <w:b w:val="0"/>
                <w:bCs w:val="0"/>
                <w:color w:val="auto"/>
                <w:sz w:val="24"/>
                <w:szCs w:val="24"/>
              </w:rPr>
              <w:t>Relational recognition</w:t>
            </w:r>
            <w:r>
              <w:rPr>
                <w:rFonts w:hint="default" w:ascii="Times New Roman" w:hAnsi="Times New Roman" w:cs="Times New Roman"/>
                <w:b w:val="0"/>
                <w:bCs w:val="0"/>
                <w:color w:val="auto"/>
                <w:sz w:val="24"/>
                <w:szCs w:val="24"/>
              </w:rPr>
              <w:t xml:space="preserve"> will be measured through self-reported perceptions of respect and emotional acknowledgment from family members following their financial empowerment. This operationalization ensures the research is both theoretically grounded and empirically verifiable.</w:t>
            </w:r>
          </w:p>
          <w:p w14:paraId="4826AEB9">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Methodologically, the study adopts a </w:t>
            </w:r>
            <w:r>
              <w:rPr>
                <w:rStyle w:val="15"/>
                <w:rFonts w:hint="default" w:ascii="Times New Roman" w:hAnsi="Times New Roman" w:cs="Times New Roman"/>
                <w:b w:val="0"/>
                <w:bCs w:val="0"/>
                <w:color w:val="auto"/>
                <w:sz w:val="24"/>
                <w:szCs w:val="24"/>
              </w:rPr>
              <w:t>qualitative, interpretive, and comparative design</w:t>
            </w:r>
            <w:r>
              <w:rPr>
                <w:rFonts w:hint="default" w:ascii="Times New Roman" w:hAnsi="Times New Roman" w:cs="Times New Roman"/>
                <w:b w:val="0"/>
                <w:bCs w:val="0"/>
                <w:color w:val="auto"/>
                <w:sz w:val="24"/>
                <w:szCs w:val="24"/>
              </w:rPr>
              <w:t xml:space="preserve"> combining both primary and secondary data sources. Primary data will be collected through </w:t>
            </w:r>
            <w:r>
              <w:rPr>
                <w:rStyle w:val="15"/>
                <w:rFonts w:hint="default" w:ascii="Times New Roman" w:hAnsi="Times New Roman" w:cs="Times New Roman"/>
                <w:b w:val="0"/>
                <w:bCs w:val="0"/>
                <w:color w:val="auto"/>
                <w:sz w:val="24"/>
                <w:szCs w:val="24"/>
              </w:rPr>
              <w:t>40–50 in-depth, semi-structured interviews</w:t>
            </w:r>
            <w:r>
              <w:rPr>
                <w:rFonts w:hint="default" w:ascii="Times New Roman" w:hAnsi="Times New Roman" w:cs="Times New Roman"/>
                <w:b w:val="0"/>
                <w:bCs w:val="0"/>
                <w:color w:val="auto"/>
                <w:sz w:val="24"/>
                <w:szCs w:val="24"/>
              </w:rPr>
              <w:t xml:space="preserve"> and </w:t>
            </w:r>
            <w:r>
              <w:rPr>
                <w:rStyle w:val="15"/>
                <w:rFonts w:hint="default" w:ascii="Times New Roman" w:hAnsi="Times New Roman" w:cs="Times New Roman"/>
                <w:b w:val="0"/>
                <w:bCs w:val="0"/>
                <w:color w:val="auto"/>
                <w:sz w:val="24"/>
                <w:szCs w:val="24"/>
              </w:rPr>
              <w:t>nine focus group discussions</w:t>
            </w:r>
            <w:r>
              <w:rPr>
                <w:rFonts w:hint="default" w:ascii="Times New Roman" w:hAnsi="Times New Roman" w:cs="Times New Roman"/>
                <w:b w:val="0"/>
                <w:bCs w:val="0"/>
                <w:color w:val="auto"/>
                <w:sz w:val="24"/>
                <w:szCs w:val="24"/>
              </w:rPr>
              <w:t xml:space="preserve"> involving beneficiary and non-beneficiary women, as well as key family members (such as husbands and mothers-in-law), across three districts of Madhya Pradesh—Bhopal, Rewa, and Khandwa—representing urban, rural, and tribal socio-cultural contexts. This design ensures the inclusion of diverse lived experiences across regional and cultural variations. Secondary data will include </w:t>
            </w:r>
            <w:r>
              <w:rPr>
                <w:rStyle w:val="15"/>
                <w:rFonts w:hint="default" w:ascii="Times New Roman" w:hAnsi="Times New Roman" w:cs="Times New Roman"/>
                <w:b w:val="0"/>
                <w:bCs w:val="0"/>
                <w:color w:val="auto"/>
                <w:sz w:val="24"/>
                <w:szCs w:val="24"/>
              </w:rPr>
              <w:t>government evaluation reports, NGO case studies (2023–2024), and policy documents</w:t>
            </w:r>
            <w:r>
              <w:rPr>
                <w:rFonts w:hint="default" w:ascii="Times New Roman" w:hAnsi="Times New Roman" w:cs="Times New Roman"/>
                <w:b w:val="0"/>
                <w:bCs w:val="0"/>
                <w:color w:val="auto"/>
                <w:sz w:val="24"/>
                <w:szCs w:val="24"/>
              </w:rPr>
              <w:t xml:space="preserve">, analyzed through </w:t>
            </w:r>
            <w:r>
              <w:rPr>
                <w:rStyle w:val="15"/>
                <w:rFonts w:hint="default" w:ascii="Times New Roman" w:hAnsi="Times New Roman" w:cs="Times New Roman"/>
                <w:b w:val="0"/>
                <w:bCs w:val="0"/>
                <w:color w:val="auto"/>
                <w:sz w:val="24"/>
                <w:szCs w:val="24"/>
              </w:rPr>
              <w:t>discourse analysis</w:t>
            </w:r>
            <w:r>
              <w:rPr>
                <w:rFonts w:hint="default" w:ascii="Times New Roman" w:hAnsi="Times New Roman" w:cs="Times New Roman"/>
                <w:b w:val="0"/>
                <w:bCs w:val="0"/>
                <w:color w:val="auto"/>
                <w:sz w:val="24"/>
                <w:szCs w:val="24"/>
              </w:rPr>
              <w:t xml:space="preserve"> to situate women’s experiences within broader state and media narratives.</w:t>
            </w:r>
          </w:p>
          <w:p w14:paraId="5F918F87">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Data will be analyzed thematically following Braun and Clarke’s six-step framework, allowing for both inductive and deductive coding to identify key patterns of empowerment, negotiation, and cultural participation. Comparative analysis between beneficiaries and non-beneficiaries will highlight the scheme’s distinct influence on household decision-making, familial respect, and women’s participation in cultural practices. Triangulation across interviews, focus groups, and secondary sources will enhance credibility and ensure contextual depth.</w:t>
            </w:r>
          </w:p>
          <w:p w14:paraId="368056BC">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Preliminary findings are expected to demonstrate that the </w:t>
            </w:r>
            <w:r>
              <w:rPr>
                <w:rStyle w:val="13"/>
                <w:rFonts w:hint="default" w:ascii="Times New Roman" w:hAnsi="Times New Roman" w:cs="Times New Roman"/>
                <w:b w:val="0"/>
                <w:bCs w:val="0"/>
                <w:color w:val="auto"/>
                <w:sz w:val="24"/>
                <w:szCs w:val="24"/>
              </w:rPr>
              <w:t>Ladli Bahna Yojana</w:t>
            </w:r>
            <w:r>
              <w:rPr>
                <w:rFonts w:hint="default" w:ascii="Times New Roman" w:hAnsi="Times New Roman" w:cs="Times New Roman"/>
                <w:b w:val="0"/>
                <w:bCs w:val="0"/>
                <w:color w:val="auto"/>
                <w:sz w:val="24"/>
                <w:szCs w:val="24"/>
              </w:rPr>
              <w:t xml:space="preserve"> redefines women’s traditional roles by economically validating caregiving and cultural labor, enabling them to act as co-decision-makers rather than passive dependents. However, empowerment may remain symbolic unless complemented by </w:t>
            </w:r>
            <w:r>
              <w:rPr>
                <w:rStyle w:val="15"/>
                <w:rFonts w:hint="default" w:ascii="Times New Roman" w:hAnsi="Times New Roman" w:cs="Times New Roman"/>
                <w:b w:val="0"/>
                <w:bCs w:val="0"/>
                <w:color w:val="auto"/>
                <w:sz w:val="24"/>
                <w:szCs w:val="24"/>
              </w:rPr>
              <w:t>financial literacy programs, leadership training, and digital inclusion</w:t>
            </w:r>
            <w:r>
              <w:rPr>
                <w:rFonts w:hint="default" w:ascii="Times New Roman" w:hAnsi="Times New Roman" w:cs="Times New Roman"/>
                <w:b w:val="0"/>
                <w:bCs w:val="0"/>
                <w:color w:val="auto"/>
                <w:sz w:val="24"/>
                <w:szCs w:val="24"/>
              </w:rPr>
              <w:t xml:space="preserve"> initiatives. The study thus proposes integrating the scheme with </w:t>
            </w:r>
            <w:r>
              <w:rPr>
                <w:rStyle w:val="13"/>
                <w:rFonts w:hint="default" w:ascii="Times New Roman" w:hAnsi="Times New Roman" w:cs="Times New Roman"/>
                <w:b w:val="0"/>
                <w:bCs w:val="0"/>
                <w:color w:val="auto"/>
                <w:sz w:val="24"/>
                <w:szCs w:val="24"/>
              </w:rPr>
              <w:t>Self-Help Groups</w:t>
            </w:r>
            <w:r>
              <w:rPr>
                <w:rFonts w:hint="default" w:ascii="Times New Roman" w:hAnsi="Times New Roman" w:cs="Times New Roman"/>
                <w:b w:val="0"/>
                <w:bCs w:val="0"/>
                <w:color w:val="auto"/>
                <w:sz w:val="24"/>
                <w:szCs w:val="24"/>
              </w:rPr>
              <w:t xml:space="preserve"> and </w:t>
            </w:r>
            <w:r>
              <w:rPr>
                <w:rStyle w:val="13"/>
                <w:rFonts w:hint="default" w:ascii="Times New Roman" w:hAnsi="Times New Roman" w:cs="Times New Roman"/>
                <w:b w:val="0"/>
                <w:bCs w:val="0"/>
                <w:color w:val="auto"/>
                <w:sz w:val="24"/>
                <w:szCs w:val="24"/>
              </w:rPr>
              <w:t>Panchayati Raj Institutions</w:t>
            </w:r>
            <w:r>
              <w:rPr>
                <w:rFonts w:hint="default" w:ascii="Times New Roman" w:hAnsi="Times New Roman" w:cs="Times New Roman"/>
                <w:b w:val="0"/>
                <w:bCs w:val="0"/>
                <w:color w:val="auto"/>
                <w:sz w:val="24"/>
                <w:szCs w:val="24"/>
              </w:rPr>
              <w:t xml:space="preserve"> to translate cultural authority into public leadership.</w:t>
            </w:r>
          </w:p>
          <w:p w14:paraId="5E7E84E1">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In conclusion, the research positions </w:t>
            </w:r>
            <w:r>
              <w:rPr>
                <w:rStyle w:val="13"/>
                <w:rFonts w:hint="default" w:ascii="Times New Roman" w:hAnsi="Times New Roman" w:cs="Times New Roman"/>
                <w:b w:val="0"/>
                <w:bCs w:val="0"/>
                <w:color w:val="auto"/>
                <w:sz w:val="24"/>
                <w:szCs w:val="24"/>
              </w:rPr>
              <w:t>Ladli Bahna Yojana</w:t>
            </w:r>
            <w:r>
              <w:rPr>
                <w:rFonts w:hint="default" w:ascii="Times New Roman" w:hAnsi="Times New Roman" w:cs="Times New Roman"/>
                <w:b w:val="0"/>
                <w:bCs w:val="0"/>
                <w:color w:val="auto"/>
                <w:sz w:val="24"/>
                <w:szCs w:val="24"/>
              </w:rPr>
              <w:t xml:space="preserve"> as an </w:t>
            </w:r>
            <w:r>
              <w:rPr>
                <w:rStyle w:val="13"/>
                <w:rFonts w:hint="default" w:ascii="Times New Roman" w:hAnsi="Times New Roman" w:cs="Times New Roman"/>
                <w:b w:val="0"/>
                <w:bCs w:val="0"/>
                <w:color w:val="auto"/>
                <w:sz w:val="24"/>
                <w:szCs w:val="24"/>
              </w:rPr>
              <w:t>indigenous feminist policy model</w:t>
            </w:r>
            <w:r>
              <w:rPr>
                <w:rFonts w:hint="default" w:ascii="Times New Roman" w:hAnsi="Times New Roman" w:cs="Times New Roman"/>
                <w:b w:val="0"/>
                <w:bCs w:val="0"/>
                <w:color w:val="auto"/>
                <w:sz w:val="24"/>
                <w:szCs w:val="24"/>
              </w:rPr>
              <w:t xml:space="preserve"> that promotes relational empowerment grounded in family continuity, dignity, and mutual respect. It contributes to the broader discourse on gender justice in India by demonstrating that empowerment need not oppose cultural tradition; instead, it can strengthen it through agency, recognition, and shared familial harmony.</w:t>
            </w:r>
          </w:p>
          <w:p w14:paraId="36F3633A">
            <w:pPr>
              <w:rPr>
                <w:rFonts w:hint="default" w:ascii="Times New Roman" w:hAnsi="Times New Roman" w:cs="Times New Roman"/>
                <w:b w:val="0"/>
                <w:bCs w:val="0"/>
                <w:i w:val="0"/>
                <w:iCs w:val="0"/>
                <w:color w:val="auto"/>
                <w:sz w:val="24"/>
                <w:szCs w:val="24"/>
              </w:rPr>
            </w:pPr>
          </w:p>
        </w:tc>
      </w:tr>
      <w:tr w14:paraId="457CA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953" w:type="dxa"/>
          </w:tcPr>
          <w:p w14:paraId="47047C07">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1216E57F">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Introduction, Theoretical Framework, Statement of the Problem and Scope of the Proposed</w:t>
            </w:r>
          </w:p>
          <w:p w14:paraId="266254FA">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 Study (approx. 1000 words)</w:t>
            </w:r>
          </w:p>
          <w:p w14:paraId="136F0185">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(Outline theoretical foundations and the scope of the study in Indian context)</w:t>
            </w:r>
          </w:p>
        </w:tc>
        <w:tc>
          <w:tcPr>
            <w:tcW w:w="6311" w:type="dxa"/>
            <w:gridSpan w:val="6"/>
          </w:tcPr>
          <w:p w14:paraId="45A99CDE">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In India’s socio-cultural landscape, women have long served as the primary custodians of family values, rituals, and intergenerational ethics. Their roles in caregiving, moral instruction, dispute mediation, and religious observance form the moral foundation of the Indian household. However, such forms of cultural labor—though essential for maintaining social cohesion—remain economically invisible and socially undervalued. According to the </w:t>
            </w:r>
            <w:r>
              <w:rPr>
                <w:rStyle w:val="15"/>
                <w:rFonts w:hint="default" w:ascii="Times New Roman" w:hAnsi="Times New Roman" w:cs="Times New Roman"/>
                <w:b w:val="0"/>
                <w:bCs w:val="0"/>
                <w:color w:val="auto"/>
                <w:sz w:val="24"/>
                <w:szCs w:val="24"/>
              </w:rPr>
              <w:t>Government of Madhya Pradesh (2023)</w:t>
            </w:r>
            <w:r>
              <w:rPr>
                <w:rFonts w:hint="default" w:ascii="Times New Roman" w:hAnsi="Times New Roman" w:cs="Times New Roman"/>
                <w:b w:val="0"/>
                <w:bCs w:val="0"/>
                <w:color w:val="auto"/>
                <w:sz w:val="24"/>
                <w:szCs w:val="24"/>
              </w:rPr>
              <w:t xml:space="preserve">, the </w:t>
            </w:r>
            <w:r>
              <w:rPr>
                <w:rStyle w:val="13"/>
                <w:rFonts w:hint="default" w:ascii="Times New Roman" w:hAnsi="Times New Roman" w:cs="Times New Roman"/>
                <w:b w:val="0"/>
                <w:bCs w:val="0"/>
                <w:color w:val="auto"/>
                <w:sz w:val="24"/>
                <w:szCs w:val="24"/>
              </w:rPr>
              <w:t>Ladli Bahna Yojana (LBY)</w:t>
            </w:r>
            <w:r>
              <w:rPr>
                <w:rFonts w:hint="default" w:ascii="Times New Roman" w:hAnsi="Times New Roman" w:cs="Times New Roman"/>
                <w:b w:val="0"/>
                <w:bCs w:val="0"/>
                <w:color w:val="auto"/>
                <w:sz w:val="24"/>
                <w:szCs w:val="24"/>
              </w:rPr>
              <w:t xml:space="preserve"> provides a monthly stipend of ₹1,250 to over </w:t>
            </w:r>
            <w:r>
              <w:rPr>
                <w:rStyle w:val="15"/>
                <w:rFonts w:hint="default" w:ascii="Times New Roman" w:hAnsi="Times New Roman" w:cs="Times New Roman"/>
                <w:b w:val="0"/>
                <w:bCs w:val="0"/>
                <w:color w:val="auto"/>
                <w:sz w:val="24"/>
                <w:szCs w:val="24"/>
              </w:rPr>
              <w:t>12.5 million women</w:t>
            </w:r>
            <w:r>
              <w:rPr>
                <w:rFonts w:hint="default" w:ascii="Times New Roman" w:hAnsi="Times New Roman" w:cs="Times New Roman"/>
                <w:b w:val="0"/>
                <w:bCs w:val="0"/>
                <w:color w:val="auto"/>
                <w:sz w:val="24"/>
                <w:szCs w:val="24"/>
              </w:rPr>
              <w:t>, making it one of India’s largest unconditional cash transfer schemes targeted at female beneficiaries. While the program’s explicit aim is financial inclusion, its implicit impact extends beyond economics—potentially reshaping women’s status and recognition within the family system.</w:t>
            </w:r>
          </w:p>
          <w:p w14:paraId="15B5812D">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In a social order where women’s domestic work is often perceived as “natural duty” rather than skilled labor, the LBY introduces an institutional acknowledgment of women’s contribution to family welfare. Unlike wage-based or employment-linked schemes, the LBY allows women to retain traditional domestic roles while exercising independent financial agency. This design raises a critical question: </w:t>
            </w:r>
            <w:r>
              <w:rPr>
                <w:rStyle w:val="15"/>
                <w:rFonts w:hint="default" w:ascii="Times New Roman" w:hAnsi="Times New Roman" w:cs="Times New Roman"/>
                <w:b w:val="0"/>
                <w:bCs w:val="0"/>
                <w:color w:val="auto"/>
                <w:sz w:val="24"/>
                <w:szCs w:val="24"/>
              </w:rPr>
              <w:t>Can financial recognition of traditional roles enhance women’s authority within the household and reinforce their cultural influence without disrupting familial structures?</w:t>
            </w:r>
          </w:p>
          <w:p w14:paraId="06469E70">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This research proposes that </w:t>
            </w:r>
            <w:r>
              <w:rPr>
                <w:rStyle w:val="13"/>
                <w:rFonts w:hint="default" w:ascii="Times New Roman" w:hAnsi="Times New Roman" w:cs="Times New Roman"/>
                <w:b w:val="0"/>
                <w:bCs w:val="0"/>
                <w:color w:val="auto"/>
                <w:sz w:val="24"/>
                <w:szCs w:val="24"/>
              </w:rPr>
              <w:t>Ladli Bahna Yojana</w:t>
            </w:r>
            <w:r>
              <w:rPr>
                <w:rFonts w:hint="default" w:ascii="Times New Roman" w:hAnsi="Times New Roman" w:cs="Times New Roman"/>
                <w:b w:val="0"/>
                <w:bCs w:val="0"/>
                <w:color w:val="auto"/>
                <w:sz w:val="24"/>
                <w:szCs w:val="24"/>
              </w:rPr>
              <w:t xml:space="preserve"> serves not only as an economic initiative but also as a </w:t>
            </w:r>
            <w:r>
              <w:rPr>
                <w:rStyle w:val="13"/>
                <w:rFonts w:hint="default" w:ascii="Times New Roman" w:hAnsi="Times New Roman" w:cs="Times New Roman"/>
                <w:b w:val="0"/>
                <w:bCs w:val="0"/>
                <w:color w:val="auto"/>
                <w:sz w:val="24"/>
                <w:szCs w:val="24"/>
              </w:rPr>
              <w:t>cultural intervention</w:t>
            </w:r>
            <w:r>
              <w:rPr>
                <w:rFonts w:hint="default" w:ascii="Times New Roman" w:hAnsi="Times New Roman" w:cs="Times New Roman"/>
                <w:b w:val="0"/>
                <w:bCs w:val="0"/>
                <w:color w:val="auto"/>
                <w:sz w:val="24"/>
                <w:szCs w:val="24"/>
              </w:rPr>
              <w:t xml:space="preserve"> that re-evaluates women’s domestic and moral labor. By providing unconditional income, it enables women to negotiate authority, assert decision-making power, and participate more actively in the preservation of family culture—defined here as the collective set of values, rituals, and relational practices that sustain intergenerational continuity.</w:t>
            </w:r>
          </w:p>
          <w:p w14:paraId="1C354773">
            <w:pPr>
              <w:pStyle w:val="5"/>
              <w:keepNext w:val="0"/>
              <w:keepLines w:val="0"/>
              <w:widowControl/>
              <w:suppressLineNumbers w:val="0"/>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Theoretical Framework</w:t>
            </w:r>
          </w:p>
          <w:p w14:paraId="38D8B4D7">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This study draws upon </w:t>
            </w:r>
            <w:r>
              <w:rPr>
                <w:rStyle w:val="15"/>
                <w:rFonts w:hint="default" w:ascii="Times New Roman" w:hAnsi="Times New Roman" w:cs="Times New Roman"/>
                <w:b w:val="0"/>
                <w:bCs w:val="0"/>
                <w:color w:val="auto"/>
                <w:sz w:val="24"/>
                <w:szCs w:val="24"/>
              </w:rPr>
              <w:t>two primary theoretical frameworks</w:t>
            </w:r>
            <w:r>
              <w:rPr>
                <w:rFonts w:hint="default" w:ascii="Times New Roman" w:hAnsi="Times New Roman" w:cs="Times New Roman"/>
                <w:b w:val="0"/>
                <w:bCs w:val="0"/>
                <w:color w:val="auto"/>
                <w:sz w:val="24"/>
                <w:szCs w:val="24"/>
              </w:rPr>
              <w:t>—</w:t>
            </w:r>
            <w:r>
              <w:rPr>
                <w:rStyle w:val="15"/>
                <w:rFonts w:hint="default" w:ascii="Times New Roman" w:hAnsi="Times New Roman" w:cs="Times New Roman"/>
                <w:b w:val="0"/>
                <w:bCs w:val="0"/>
                <w:color w:val="auto"/>
                <w:sz w:val="24"/>
                <w:szCs w:val="24"/>
              </w:rPr>
              <w:t>Amartya Sen’s Capability Approach</w:t>
            </w:r>
            <w:r>
              <w:rPr>
                <w:rFonts w:hint="default" w:ascii="Times New Roman" w:hAnsi="Times New Roman" w:cs="Times New Roman"/>
                <w:b w:val="0"/>
                <w:bCs w:val="0"/>
                <w:color w:val="auto"/>
                <w:sz w:val="24"/>
                <w:szCs w:val="24"/>
              </w:rPr>
              <w:t xml:space="preserve"> and </w:t>
            </w:r>
            <w:r>
              <w:rPr>
                <w:rStyle w:val="15"/>
                <w:rFonts w:hint="default" w:ascii="Times New Roman" w:hAnsi="Times New Roman" w:cs="Times New Roman"/>
                <w:b w:val="0"/>
                <w:bCs w:val="0"/>
                <w:color w:val="auto"/>
                <w:sz w:val="24"/>
                <w:szCs w:val="24"/>
              </w:rPr>
              <w:t>Symbolic Interactionism</w:t>
            </w:r>
            <w:r>
              <w:rPr>
                <w:rFonts w:hint="default" w:ascii="Times New Roman" w:hAnsi="Times New Roman" w:cs="Times New Roman"/>
                <w:b w:val="0"/>
                <w:bCs w:val="0"/>
                <w:color w:val="auto"/>
                <w:sz w:val="24"/>
                <w:szCs w:val="24"/>
              </w:rPr>
              <w:t xml:space="preserve">—supported by insights from </w:t>
            </w:r>
            <w:r>
              <w:rPr>
                <w:rStyle w:val="15"/>
                <w:rFonts w:hint="default" w:ascii="Times New Roman" w:hAnsi="Times New Roman" w:cs="Times New Roman"/>
                <w:b w:val="0"/>
                <w:bCs w:val="0"/>
                <w:color w:val="auto"/>
                <w:sz w:val="24"/>
                <w:szCs w:val="24"/>
              </w:rPr>
              <w:t>Role Theory</w:t>
            </w:r>
            <w:r>
              <w:rPr>
                <w:rFonts w:hint="default" w:ascii="Times New Roman" w:hAnsi="Times New Roman" w:cs="Times New Roman"/>
                <w:b w:val="0"/>
                <w:bCs w:val="0"/>
                <w:color w:val="auto"/>
                <w:sz w:val="24"/>
                <w:szCs w:val="24"/>
              </w:rPr>
              <w:t xml:space="preserve"> and </w:t>
            </w:r>
            <w:r>
              <w:rPr>
                <w:rStyle w:val="15"/>
                <w:rFonts w:hint="default" w:ascii="Times New Roman" w:hAnsi="Times New Roman" w:cs="Times New Roman"/>
                <w:b w:val="0"/>
                <w:bCs w:val="0"/>
                <w:color w:val="auto"/>
                <w:sz w:val="24"/>
                <w:szCs w:val="24"/>
              </w:rPr>
              <w:t>Feminist Care Ethics</w:t>
            </w:r>
            <w:r>
              <w:rPr>
                <w:rFonts w:hint="default" w:ascii="Times New Roman" w:hAnsi="Times New Roman" w:cs="Times New Roman"/>
                <w:b w:val="0"/>
                <w:bCs w:val="0"/>
                <w:color w:val="auto"/>
                <w:sz w:val="24"/>
                <w:szCs w:val="24"/>
              </w:rPr>
              <w:t xml:space="preserve"> to analyze how financial empowerment intersects with women’s cultural and familial authority.</w:t>
            </w:r>
            <w:bookmarkStart w:id="1" w:name="_GoBack"/>
            <w:bookmarkEnd w:id="1"/>
          </w:p>
          <w:p w14:paraId="51368DF8">
            <w:pPr>
              <w:pStyle w:val="14"/>
              <w:keepNext w:val="0"/>
              <w:keepLines w:val="0"/>
              <w:widowControl/>
              <w:suppressLineNumbers w:val="0"/>
              <w:ind w:left="720"/>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Amartya Sen’s Capability Approach (1999)</w:t>
            </w:r>
            <w:r>
              <w:rPr>
                <w:rFonts w:hint="default" w:ascii="Times New Roman" w:hAnsi="Times New Roman" w:cs="Times New Roman"/>
                <w:b w:val="0"/>
                <w:bCs w:val="0"/>
                <w:color w:val="auto"/>
                <w:sz w:val="24"/>
                <w:szCs w:val="24"/>
              </w:rPr>
              <w:t xml:space="preserve"> emphasizes empowerment as the expansion of individuals’ real freedoms to live the lives they value. Within the LBY context, women’s access to unconditional income expands their capability set—allowing them to make choices in areas such as children’s education, healthcare, religious rituals, and household budgeting. The research interprets this empowerment not as withdrawal from traditional roles but as greater control within them.</w:t>
            </w:r>
          </w:p>
          <w:p w14:paraId="0E4D720D">
            <w:pPr>
              <w:pStyle w:val="14"/>
              <w:keepNext w:val="0"/>
              <w:keepLines w:val="0"/>
              <w:widowControl/>
              <w:suppressLineNumbers w:val="0"/>
              <w:ind w:left="720"/>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Symbolic Interactionism</w:t>
            </w:r>
            <w:r>
              <w:rPr>
                <w:rFonts w:hint="default" w:ascii="Times New Roman" w:hAnsi="Times New Roman" w:cs="Times New Roman"/>
                <w:b w:val="0"/>
                <w:bCs w:val="0"/>
                <w:color w:val="auto"/>
                <w:sz w:val="24"/>
                <w:szCs w:val="24"/>
              </w:rPr>
              <w:t xml:space="preserve"> (Mead; Blumer) provides the micro-sociological lens to understand how empowerment alters social identities and interpersonal respect. Through everyday interactions, financial recognition transforms women’s symbolic status—from dependents to contributors—redefining how they are perceived by husbands, in-laws, and children.</w:t>
            </w:r>
            <w:r>
              <w:rPr>
                <w:rFonts w:hint="default" w:ascii="Times New Roman" w:hAnsi="Times New Roman" w:cs="Times New Roman"/>
                <w:b w:val="0"/>
                <w:bCs w:val="0"/>
                <w:color w:val="auto"/>
                <w:sz w:val="24"/>
                <w:szCs w:val="24"/>
              </w:rPr>
              <w:br w:type="textWrapping"/>
            </w:r>
            <w:r>
              <w:rPr>
                <w:rStyle w:val="13"/>
                <w:rFonts w:hint="default" w:ascii="Times New Roman" w:hAnsi="Times New Roman" w:cs="Times New Roman"/>
                <w:b w:val="0"/>
                <w:bCs w:val="0"/>
                <w:color w:val="auto"/>
                <w:sz w:val="24"/>
                <w:szCs w:val="24"/>
              </w:rPr>
              <w:t>This symbolic shift will be investigated through qualitative analysis of perceived changes in respect, participation, and inclusion in family decision-making, as reported by both beneficiaries and their family members.</w:t>
            </w:r>
          </w:p>
          <w:p w14:paraId="2CE08D85">
            <w:pPr>
              <w:pStyle w:val="14"/>
              <w:keepNext w:val="0"/>
              <w:keepLines w:val="0"/>
              <w:widowControl/>
              <w:suppressLineNumbers w:val="0"/>
              <w:ind w:left="720"/>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Role Theory (Eagly, 1987)</w:t>
            </w:r>
            <w:r>
              <w:rPr>
                <w:rFonts w:hint="default" w:ascii="Times New Roman" w:hAnsi="Times New Roman" w:cs="Times New Roman"/>
                <w:b w:val="0"/>
                <w:bCs w:val="0"/>
                <w:color w:val="auto"/>
                <w:sz w:val="24"/>
                <w:szCs w:val="24"/>
              </w:rPr>
              <w:t xml:space="preserve"> contextualizes how societal expectations dictate women’s behavior within domestic settings. The LBY does not reject these expectations but reassigns value to caregiving and emotional labor, helping women transition from passive role-bearers to active role-negotiators.</w:t>
            </w:r>
          </w:p>
          <w:p w14:paraId="2DCAE0FD">
            <w:pPr>
              <w:pStyle w:val="14"/>
              <w:keepNext w:val="0"/>
              <w:keepLines w:val="0"/>
              <w:widowControl/>
              <w:suppressLineNumbers w:val="0"/>
              <w:ind w:left="720"/>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Feminist Care Ethics (Gilligan, 1982)</w:t>
            </w:r>
            <w:r>
              <w:rPr>
                <w:rFonts w:hint="default" w:ascii="Times New Roman" w:hAnsi="Times New Roman" w:cs="Times New Roman"/>
                <w:b w:val="0"/>
                <w:bCs w:val="0"/>
                <w:color w:val="auto"/>
                <w:sz w:val="24"/>
                <w:szCs w:val="24"/>
              </w:rPr>
              <w:t xml:space="preserve"> challenges the Western tendency to view caregiving as subordination. Instead, it redefines care as a moral and political strength. Applying this lens, the LBY can be understood as a state recognition of caregiving as a legitimate form of social contribution, central to India’s cultural sustainability.</w:t>
            </w:r>
          </w:p>
          <w:p w14:paraId="6456BD9F">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Together, these frameworks offer a multi-layered understanding of empowerment—not merely as financial gain but as </w:t>
            </w:r>
            <w:r>
              <w:rPr>
                <w:rStyle w:val="13"/>
                <w:rFonts w:hint="default" w:ascii="Times New Roman" w:hAnsi="Times New Roman" w:cs="Times New Roman"/>
                <w:b w:val="0"/>
                <w:bCs w:val="0"/>
                <w:color w:val="auto"/>
                <w:sz w:val="24"/>
                <w:szCs w:val="24"/>
              </w:rPr>
              <w:t>cultural recognition, relational respect, and symbolic transformation.</w:t>
            </w:r>
          </w:p>
          <w:p w14:paraId="48597AC0">
            <w:pPr>
              <w:pStyle w:val="5"/>
              <w:keepNext w:val="0"/>
              <w:keepLines w:val="0"/>
              <w:widowControl/>
              <w:suppressLineNumbers w:val="0"/>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Statement of the Problem</w:t>
            </w:r>
          </w:p>
          <w:p w14:paraId="081A317E">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Despite advancements in women’s education and participation in the workforce, </w:t>
            </w:r>
            <w:r>
              <w:rPr>
                <w:rStyle w:val="15"/>
                <w:rFonts w:hint="default" w:ascii="Times New Roman" w:hAnsi="Times New Roman" w:cs="Times New Roman"/>
                <w:b w:val="0"/>
                <w:bCs w:val="0"/>
                <w:color w:val="auto"/>
                <w:sz w:val="24"/>
                <w:szCs w:val="24"/>
              </w:rPr>
              <w:t>economic dependence within households remains widespread</w:t>
            </w:r>
            <w:r>
              <w:rPr>
                <w:rFonts w:hint="default" w:ascii="Times New Roman" w:hAnsi="Times New Roman" w:cs="Times New Roman"/>
                <w:b w:val="0"/>
                <w:bCs w:val="0"/>
                <w:color w:val="auto"/>
                <w:sz w:val="24"/>
                <w:szCs w:val="24"/>
              </w:rPr>
              <w:t>, especially in rural and semi-urban Madhya Pradesh. Household duties such as childcare, eldercare, ritual organization, and community mediation remain unpaid and undervalued, reinforcing gender asymmetries in decision-making. State interventions often emphasize employment generation but rarely address how financial recognition of domestic work can transform intra-household power dynamics.</w:t>
            </w:r>
          </w:p>
          <w:p w14:paraId="269BFD80">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w:t>
            </w:r>
            <w:r>
              <w:rPr>
                <w:rStyle w:val="13"/>
                <w:rFonts w:hint="default" w:ascii="Times New Roman" w:hAnsi="Times New Roman" w:cs="Times New Roman"/>
                <w:b w:val="0"/>
                <w:bCs w:val="0"/>
                <w:color w:val="auto"/>
                <w:sz w:val="24"/>
                <w:szCs w:val="24"/>
              </w:rPr>
              <w:t>Ladli Bahna Yojana</w:t>
            </w:r>
            <w:r>
              <w:rPr>
                <w:rFonts w:hint="default" w:ascii="Times New Roman" w:hAnsi="Times New Roman" w:cs="Times New Roman"/>
                <w:b w:val="0"/>
                <w:bCs w:val="0"/>
                <w:color w:val="auto"/>
                <w:sz w:val="24"/>
                <w:szCs w:val="24"/>
              </w:rPr>
              <w:t xml:space="preserve"> represents a new paradigm in this regard—it compensates women for their social contribution without requiring formal labor market participation. Yet, little research has examined whether such financial acknowledgment translates into enhanced cultural authority or shifts in family hierarchies. This study aims to fill that gap by exploring how financial inclusion interacts with gendered expectations and whether it results in a deeper sense of empowerment and relational respect.</w:t>
            </w:r>
          </w:p>
          <w:p w14:paraId="15ACA35C">
            <w:pPr>
              <w:pStyle w:val="5"/>
              <w:keepNext w:val="0"/>
              <w:keepLines w:val="0"/>
              <w:widowControl/>
              <w:suppressLineNumbers w:val="0"/>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Scope of the Study</w:t>
            </w:r>
          </w:p>
          <w:p w14:paraId="16817F48">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study focuses on three districts of Madhya Pradesh—</w:t>
            </w:r>
            <w:r>
              <w:rPr>
                <w:rStyle w:val="15"/>
                <w:rFonts w:hint="default" w:ascii="Times New Roman" w:hAnsi="Times New Roman" w:cs="Times New Roman"/>
                <w:b w:val="0"/>
                <w:bCs w:val="0"/>
                <w:color w:val="auto"/>
                <w:sz w:val="24"/>
                <w:szCs w:val="24"/>
              </w:rPr>
              <w:t>Bhopal (urban/semi-urban)</w:t>
            </w:r>
            <w:r>
              <w:rPr>
                <w:rFonts w:hint="default" w:ascii="Times New Roman" w:hAnsi="Times New Roman" w:cs="Times New Roman"/>
                <w:b w:val="0"/>
                <w:bCs w:val="0"/>
                <w:color w:val="auto"/>
                <w:sz w:val="24"/>
                <w:szCs w:val="24"/>
              </w:rPr>
              <w:t xml:space="preserve">, </w:t>
            </w:r>
            <w:r>
              <w:rPr>
                <w:rStyle w:val="15"/>
                <w:rFonts w:hint="default" w:ascii="Times New Roman" w:hAnsi="Times New Roman" w:cs="Times New Roman"/>
                <w:b w:val="0"/>
                <w:bCs w:val="0"/>
                <w:color w:val="auto"/>
                <w:sz w:val="24"/>
                <w:szCs w:val="24"/>
              </w:rPr>
              <w:t>Rewa (rural)</w:t>
            </w:r>
            <w:r>
              <w:rPr>
                <w:rFonts w:hint="default" w:ascii="Times New Roman" w:hAnsi="Times New Roman" w:cs="Times New Roman"/>
                <w:b w:val="0"/>
                <w:bCs w:val="0"/>
                <w:color w:val="auto"/>
                <w:sz w:val="24"/>
                <w:szCs w:val="24"/>
              </w:rPr>
              <w:t xml:space="preserve">, and </w:t>
            </w:r>
            <w:r>
              <w:rPr>
                <w:rStyle w:val="15"/>
                <w:rFonts w:hint="default" w:ascii="Times New Roman" w:hAnsi="Times New Roman" w:cs="Times New Roman"/>
                <w:b w:val="0"/>
                <w:bCs w:val="0"/>
                <w:color w:val="auto"/>
                <w:sz w:val="24"/>
                <w:szCs w:val="24"/>
              </w:rPr>
              <w:t>Khandwa (tribal/agrarian)</w:t>
            </w:r>
            <w:r>
              <w:rPr>
                <w:rFonts w:hint="default" w:ascii="Times New Roman" w:hAnsi="Times New Roman" w:cs="Times New Roman"/>
                <w:b w:val="0"/>
                <w:bCs w:val="0"/>
                <w:color w:val="auto"/>
                <w:sz w:val="24"/>
                <w:szCs w:val="24"/>
              </w:rPr>
              <w:t>—selected for their cultural diversity and varying intensities of LBY implementation. The research will examine how women across these settings experience empowerment differently, shaped by caste, class, and family structure.</w:t>
            </w:r>
          </w:p>
          <w:p w14:paraId="100DBF9B">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By combining qualitative interviews, focus groups, and discourse analysis, the study seeks to understand the nuanced relationship between financial autonomy and women’s participation in cultural, religious, and familial spheres. The analysis will consider both beneficiary and non-beneficiary women to establish comparative insights.</w:t>
            </w:r>
          </w:p>
          <w:p w14:paraId="4391F239">
            <w:pPr>
              <w:pStyle w:val="5"/>
              <w:keepNext w:val="0"/>
              <w:keepLines w:val="0"/>
              <w:widowControl/>
              <w:suppressLineNumbers w:val="0"/>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Research Problem and Sub-Questions</w:t>
            </w:r>
          </w:p>
          <w:p w14:paraId="6615DFD4">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core research problem can be stated as:</w:t>
            </w:r>
            <w:r>
              <w:rPr>
                <w:rFonts w:hint="default" w:ascii="Times New Roman" w:hAnsi="Times New Roman" w:cs="Times New Roman"/>
                <w:b w:val="0"/>
                <w:bCs w:val="0"/>
                <w:color w:val="auto"/>
                <w:sz w:val="24"/>
                <w:szCs w:val="24"/>
              </w:rPr>
              <w:br w:type="textWrapping"/>
            </w:r>
            <w:r>
              <w:rPr>
                <w:rStyle w:val="15"/>
                <w:rFonts w:hint="default" w:ascii="Times New Roman" w:hAnsi="Times New Roman" w:cs="Times New Roman"/>
                <w:b w:val="0"/>
                <w:bCs w:val="0"/>
                <w:color w:val="auto"/>
                <w:sz w:val="24"/>
                <w:szCs w:val="24"/>
              </w:rPr>
              <w:t>Can financial recognition of women’s traditional domestic roles through the Ladli Bahna Yojana enhance their authority and agency within familial and cultural contexts without dismantling traditional structures?</w:t>
            </w:r>
          </w:p>
          <w:p w14:paraId="7B562427">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study will explore this problem through the following sub-questions:</w:t>
            </w:r>
          </w:p>
          <w:p w14:paraId="4993CCC8">
            <w:pPr>
              <w:pStyle w:val="14"/>
              <w:keepNext w:val="0"/>
              <w:keepLines w:val="0"/>
              <w:widowControl/>
              <w:numPr>
                <w:ilvl w:val="0"/>
                <w:numId w:val="2"/>
              </w:numPr>
              <w:suppressLineNumbers w:val="0"/>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Does participation in LBY increase women’s involvement in key household decisions, such as children’s education, healthcare, and financial planning</w:t>
            </w:r>
          </w:p>
          <w:p w14:paraId="0D839771">
            <w:pPr>
              <w:pStyle w:val="14"/>
              <w:keepNext w:val="0"/>
              <w:keepLines w:val="0"/>
              <w:widowControl/>
              <w:numPr>
                <w:ilvl w:val="0"/>
                <w:numId w:val="2"/>
              </w:numPr>
              <w:suppressLineNumbers w:val="0"/>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How does financial autonomy influence women’s role in organizing and transmitting cultural and religious practices?</w:t>
            </w:r>
          </w:p>
          <w:p w14:paraId="10C96418">
            <w:pPr>
              <w:pStyle w:val="14"/>
              <w:keepNext w:val="0"/>
              <w:keepLines w:val="0"/>
              <w:widowControl/>
              <w:numPr>
                <w:ilvl w:val="0"/>
                <w:numId w:val="2"/>
              </w:numPr>
              <w:suppressLineNumbers w:val="0"/>
              <w:ind w:left="42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How do symbolic perceptions of women’s status change among family members following participation in LBY?</w:t>
            </w:r>
          </w:p>
          <w:p w14:paraId="249A10A1">
            <w:pPr>
              <w:pStyle w:val="14"/>
              <w:keepNext w:val="0"/>
              <w:keepLines w:val="0"/>
              <w:widowControl/>
              <w:numPr>
                <w:ilvl w:val="0"/>
                <w:numId w:val="2"/>
              </w:numPr>
              <w:suppressLineNumbers w:val="0"/>
              <w:ind w:left="420" w:leftChars="0" w:hanging="420" w:firstLineChars="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color w:val="auto"/>
                <w:sz w:val="24"/>
                <w:szCs w:val="24"/>
              </w:rPr>
              <w:t>To what extent does the intra-household decision-making power of LBY beneficiaries differ from that of eligible non-beneficiaries in comparable socio-economic settings?</w:t>
            </w:r>
          </w:p>
        </w:tc>
      </w:tr>
      <w:tr w14:paraId="5F16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 w:type="dxa"/>
          </w:tcPr>
          <w:p w14:paraId="59C4EB3D">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72815DD2">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Critical Review of Key Research Works for the Proposed Study (</w:t>
            </w:r>
            <w:r>
              <w:rPr>
                <w:rFonts w:hint="default" w:ascii="Times New Roman" w:hAnsi="Times New Roman" w:cs="Times New Roman"/>
                <w:b w:val="0"/>
                <w:bCs w:val="0"/>
                <w:i w:val="0"/>
                <w:iCs w:val="0"/>
                <w:color w:val="auto"/>
                <w:sz w:val="24"/>
                <w:szCs w:val="24"/>
                <w:u w:val="single"/>
              </w:rPr>
              <w:t>Avoid listing bibliographic references</w:t>
            </w:r>
            <w:r>
              <w:rPr>
                <w:rFonts w:hint="default" w:ascii="Times New Roman" w:hAnsi="Times New Roman" w:cs="Times New Roman"/>
                <w:b w:val="0"/>
                <w:bCs w:val="0"/>
                <w:i w:val="0"/>
                <w:iCs w:val="0"/>
                <w:color w:val="auto"/>
                <w:sz w:val="24"/>
                <w:szCs w:val="24"/>
              </w:rPr>
              <w:t>)</w:t>
            </w:r>
            <w:r>
              <w:rPr>
                <w:rFonts w:hint="default" w:ascii="Times New Roman" w:hAnsi="Times New Roman" w:cs="Times New Roman"/>
                <w:b w:val="0"/>
                <w:bCs w:val="0"/>
                <w:i w:val="0"/>
                <w:iCs w:val="0"/>
                <w:color w:val="auto"/>
                <w:sz w:val="24"/>
                <w:szCs w:val="24"/>
              </w:rPr>
              <w:br w:type="textWrapping"/>
            </w:r>
            <w:r>
              <w:rPr>
                <w:rFonts w:hint="default" w:ascii="Times New Roman" w:hAnsi="Times New Roman" w:cs="Times New Roman"/>
                <w:b w:val="0"/>
                <w:bCs w:val="0"/>
                <w:i w:val="0"/>
                <w:iCs w:val="0"/>
                <w:color w:val="auto"/>
                <w:sz w:val="24"/>
                <w:szCs w:val="24"/>
              </w:rPr>
              <w:t>(approx. 800 words)</w:t>
            </w:r>
          </w:p>
        </w:tc>
        <w:tc>
          <w:tcPr>
            <w:tcW w:w="6311" w:type="dxa"/>
            <w:gridSpan w:val="6"/>
          </w:tcPr>
          <w:p w14:paraId="0C9614AB">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intersection of financial independence and gender dynamics significantly influences women's roles in preserving family culture. While financial autonomy can empower women to actively participate in and even redefine cultural practices within the family, it also presents challenges that require careful consideration. Financial independence enables women to make decisions that can either reinforce or reshape cultural practices. Studies indicate that women who manage their finances independently are more likely to challenge traditional gender roles and assert their influence in cultural matters. For instance, research by Choudhary and Ray (2024) found that women in Mumbai who were financially independent exhibited greater decision-making power in household matters, including the preservation of cultural traditions.</w:t>
            </w:r>
          </w:p>
          <w:p w14:paraId="40A9FF53">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Moreover, financial independence allows women to invest in cultural education and community activities, thereby actively participating in the transmission of cultural heritage. This shift not only empowers women but also promotes a more inclusive approach to cultural preservation, where both men and women collaborate in sustaining family traditions. Financial autonomy enables women to negotiate the balance between upholding tradition and adapting practices to contemporary needs, reinforcing their agency as cultural custodians.</w:t>
            </w:r>
          </w:p>
          <w:p w14:paraId="4BA22F5C">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Challenges and Gendered Constraints</w:t>
            </w:r>
          </w:p>
          <w:p w14:paraId="72387CF6">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Despite the empowering potential of financial independence, women often encounter structural barriers that limit their agency in cultural preservation. Patriarchal norms and economic inequalities continue to influence women's roles within the family, even when they possess financial autonomy. For example, a study by Shohel (2021) highlighted that participation in microfinance programs has not significantly shifted gender norms or financially empowered women in certain contexts, suggesting that financial independence alone may not dismantle entrenched patriarchal structures.</w:t>
            </w:r>
          </w:p>
          <w:p w14:paraId="6F007D74">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Additionally, while women may have the financial means to influence cultural practices, societal expectations often still place the responsibility for cultural transmission predominantly on them. This dual burden can lead to tensions between personal aspirations and familial obligations, complicating their role in preserving family culture. Women may experience pressure to maintain “moral authority” over the family while simultaneously pursuing personal economic or professional goals, creating a dynamic tension between empowerment and expectation.</w:t>
            </w:r>
          </w:p>
          <w:p w14:paraId="1B57436B">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Intersectiona</w:t>
            </w:r>
            <w:r>
              <w:rPr>
                <w:rStyle w:val="15"/>
                <w:rFonts w:hint="default" w:ascii="Times New Roman" w:hAnsi="Times New Roman" w:cs="Times New Roman"/>
                <w:b w:val="0"/>
                <w:bCs w:val="0"/>
                <w:i w:val="0"/>
                <w:iCs w:val="0"/>
                <w:color w:val="auto"/>
                <w:sz w:val="24"/>
                <w:szCs w:val="24"/>
                <w:lang w:val="en-US"/>
              </w:rPr>
              <w:t xml:space="preserve">l </w:t>
            </w:r>
            <w:r>
              <w:rPr>
                <w:rStyle w:val="15"/>
                <w:rFonts w:hint="default" w:ascii="Times New Roman" w:hAnsi="Times New Roman" w:cs="Times New Roman"/>
                <w:b w:val="0"/>
                <w:bCs w:val="0"/>
                <w:i w:val="0"/>
                <w:iCs w:val="0"/>
                <w:color w:val="auto"/>
                <w:sz w:val="24"/>
                <w:szCs w:val="24"/>
              </w:rPr>
              <w:t>and Diverse Experiences</w:t>
            </w:r>
          </w:p>
          <w:p w14:paraId="18A419D0">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intersection of gender with other social categories such as class, ethnicity, and migration status further complicates women's roles in cultural preservation. Research by the European Institute for Gender Equality (2024) found that migrant women and women with disabilities face unique challenges in achieving financial independence, which in turn affects their capacity to participate in cultural preservation activities. In India, for instance, a study on Gen Z's spending habits revealed that while financial independence is increasingly valued, traditional practices like investing in gold remain prevalent among young women. This blend of modern financial behavior with traditional cultural practices underscores the complex interplay between financial autonomy and cultural identity.</w:t>
            </w:r>
          </w:p>
          <w:p w14:paraId="6AFA2B59">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Global Perspectives on Women’s Cultural Leadership</w:t>
            </w:r>
          </w:p>
          <w:p w14:paraId="2CECB64A">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Internationally, women are leading efforts to preserve and adapt cultural practices in the face of globalization and environmental challenges. Indigenous women, in particular, are at the forefront of defending cultural heritage through economic initiatives. For example, in Guatemala, María Cahuec advocates for food sovereignty and land ownership rights while leading organic farming and textile cooperatives, demonstrating how financial independence can be harnessed to sustain cultural traditions (The Guardian, 2025).</w:t>
            </w:r>
          </w:p>
          <w:p w14:paraId="488E863F">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Scholarly literature consistently identifies women as “cultural custodians.” Schneider and Müller (2023), in their study </w:t>
            </w:r>
            <w:r>
              <w:rPr>
                <w:rStyle w:val="13"/>
                <w:rFonts w:hint="default" w:ascii="Times New Roman" w:hAnsi="Times New Roman" w:cs="Times New Roman"/>
                <w:b w:val="0"/>
                <w:bCs w:val="0"/>
                <w:i w:val="0"/>
                <w:iCs w:val="0"/>
                <w:color w:val="auto"/>
                <w:sz w:val="24"/>
                <w:szCs w:val="24"/>
              </w:rPr>
              <w:t>Are Women the “Keepers of the Culture”?</w:t>
            </w:r>
            <w:r>
              <w:rPr>
                <w:rFonts w:hint="default" w:ascii="Times New Roman" w:hAnsi="Times New Roman" w:cs="Times New Roman"/>
                <w:b w:val="0"/>
                <w:bCs w:val="0"/>
                <w:i w:val="0"/>
                <w:iCs w:val="0"/>
                <w:color w:val="auto"/>
                <w:sz w:val="24"/>
                <w:szCs w:val="24"/>
              </w:rPr>
              <w:t>, examine gender-specific transmission of mainstream and ethnic identities in European families. They found that women, particularly mothers, serve as mediators between traditional and modern values, often managing the tension between cultural preservation and adaptation. Their findings echo earlier feminist analyses, such as Chodorow (1978), who argued that women’s socialization patterns reproduce gendered divisions of labor within family and culture, emphasizing emotional and caregiving roles as central to femininity. Schneider and Müller’s research introduces a nuanced view, suggesting that women’s engagement in cultural reproduction can also become a site of agency—where they selectively reinterpret traditions to fit contemporary gender ideals.</w:t>
            </w:r>
          </w:p>
          <w:p w14:paraId="03DCBDF1">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In India, the gendered dimension of cultural preservation has been explored within the context of family, caste, and state policy. The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(2023) launched in Madhya Pradesh exemplifies how government programs can influence gender roles by financially empowering women while reinforcing their familial responsibilities. According to Verma and Singh (2024), this scheme positions women not merely as economic beneficiaries but as moral anchors of family stability and culture. The policy rhetoric emphasizes women’s nurturing capacities and moral responsibility for family welfare, reflecting deep-seated patriarchal assumptions. Yet, qualitative fieldwork reveals that many women use such programs to gain autonomy in household decision-making, subtly renegotiating gender power structures. While the initiative may appear to reinforce traditional gender roles, it simultaneously creates pathways for empowerment and cultural reinterpretation.</w:t>
            </w:r>
          </w:p>
          <w:p w14:paraId="20AB75B3">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Diaspora studies further illuminate how women sustain cultural identity in transnational contexts. Espiritu (2001) and Anthias (2013) argue that migrant women function as cultural mediators who negotiate dual expectations—retaining ethnic traditions while adapting to host cultures. They actively transmit language, rituals, and moral values, ensuring the survival of community identity abroad. However, this cultural labor often remains invisible and undervalued. Bhatia and Ram (2020) highlight that such expectations may burden women with preserving a “pure” version of culture, even as men engage more freely with global modernity. This imbalance underscores persistent patriarchal norms that link women’s worth to moral and cultural reproduction rather than personal development or public achievement.</w:t>
            </w:r>
          </w:p>
          <w:p w14:paraId="57EA2014">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Recent gender studies question the essentialization of women as natural cultural preservers. Mahapatra (2022) critiques this romanticized narrative, arguing that assigning women the responsibility for upholding “family culture” can limit their participation in economic and political life. Similarly, Narayan (1997) warns against the “cultural essentialism” that traps women in traditional roles under the guise of respect for cultural heritage. These critiques invite a rethinking of how cultural continuity can coexist with gender equality, highlighting the need for shared responsibility in cultural preservation</w:t>
            </w:r>
          </w:p>
          <w:p w14:paraId="1FA13AFE">
            <w:pPr>
              <w:pStyle w:val="14"/>
              <w:keepNext w:val="0"/>
              <w:keepLines w:val="0"/>
              <w:widowControl/>
              <w:suppressLineNumbers w:val="0"/>
              <w:rPr>
                <w:rFonts w:hint="default" w:ascii="Times New Roman" w:hAnsi="Times New Roman" w:cs="Times New Roman"/>
                <w:b w:val="0"/>
                <w:bCs w:val="0"/>
                <w:i w:val="0"/>
                <w:iCs w:val="0"/>
                <w:color w:val="auto"/>
                <w:sz w:val="24"/>
                <w:szCs w:val="24"/>
                <w:lang w:val="en-US"/>
              </w:rPr>
            </w:pPr>
          </w:p>
          <w:p w14:paraId="68D56D33">
            <w:pPr>
              <w:rPr>
                <w:rFonts w:hint="default" w:ascii="Times New Roman" w:hAnsi="Times New Roman" w:eastAsia="SimSun" w:cs="Times New Roman"/>
                <w:b w:val="0"/>
                <w:bCs w:val="0"/>
                <w:i w:val="0"/>
                <w:iCs w:val="0"/>
                <w:color w:val="auto"/>
                <w:sz w:val="24"/>
                <w:szCs w:val="24"/>
                <w:lang w:val="en-US"/>
              </w:rPr>
            </w:pPr>
          </w:p>
        </w:tc>
      </w:tr>
      <w:tr w14:paraId="1A9BC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8" w:hRule="atLeast"/>
        </w:trPr>
        <w:tc>
          <w:tcPr>
            <w:tcW w:w="953" w:type="dxa"/>
          </w:tcPr>
          <w:p w14:paraId="6EA65EB3">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63463486">
            <w:pPr>
              <w:rPr>
                <w:rFonts w:hint="default" w:ascii="Times New Roman" w:hAnsi="Times New Roman" w:cs="Times New Roman"/>
                <w:b w:val="0"/>
                <w:bCs w:val="0"/>
                <w:i w:val="0"/>
                <w:iCs w:val="0"/>
                <w:color w:val="auto"/>
                <w:sz w:val="24"/>
                <w:szCs w:val="24"/>
                <w:u w:val="single"/>
              </w:rPr>
            </w:pPr>
            <w:r>
              <w:rPr>
                <w:rFonts w:hint="default" w:ascii="Times New Roman" w:hAnsi="Times New Roman" w:cs="Times New Roman"/>
                <w:b w:val="0"/>
                <w:bCs w:val="0"/>
                <w:i w:val="0"/>
                <w:iCs w:val="0"/>
                <w:color w:val="auto"/>
                <w:sz w:val="24"/>
                <w:szCs w:val="24"/>
              </w:rPr>
              <w:t>Identification of Research Gaps (</w:t>
            </w:r>
            <w:r>
              <w:rPr>
                <w:rFonts w:hint="default" w:ascii="Times New Roman" w:hAnsi="Times New Roman" w:cs="Times New Roman"/>
                <w:b w:val="0"/>
                <w:bCs w:val="0"/>
                <w:i w:val="0"/>
                <w:iCs w:val="0"/>
                <w:color w:val="auto"/>
                <w:sz w:val="24"/>
                <w:szCs w:val="24"/>
                <w:u w:val="single"/>
              </w:rPr>
              <w:t>Clearly identify the gaps in the existing research literature,</w:t>
            </w:r>
            <w:r>
              <w:rPr>
                <w:rFonts w:hint="default" w:ascii="Times New Roman" w:hAnsi="Times New Roma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u w:val="single"/>
              </w:rPr>
              <w:t xml:space="preserve">unexplored areas, and explain how your proposed study addresses these gaps)  </w:t>
            </w:r>
          </w:p>
          <w:p w14:paraId="351C3E41">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(approx. 500 words)</w:t>
            </w:r>
          </w:p>
        </w:tc>
        <w:tc>
          <w:tcPr>
            <w:tcW w:w="6311" w:type="dxa"/>
            <w:gridSpan w:val="6"/>
          </w:tcPr>
          <w:p w14:paraId="77858507">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Research on gender dynamics and women’s role in preserving family culture highlights their central position as cultural custodians, yet there remain significant gaps, especially regarding the intersection of financial independence and authority within the family. While numerous studies emphasize women’s social and emotional labor in transmitting cultural values (Schneider &amp; Müller, 2023; Chodorow, 1978), there is limited exploration of how economic autonomy affects their decision-making power and influence over familial traditions. Most existing work treats financial independence and cultural preservation separately, leaving a gap in understanding how one reinforces the other.</w:t>
            </w:r>
          </w:p>
          <w:p w14:paraId="1EFB6D71">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Firstly, the relationship between financial independence and women’s authority in cultural preservation is underexplored. Studies such as Choudhary and Ray (2024) indicate that economically empowered women in urban India exhibit greater household decision-making power, but there is a lack of systematic research examining whether this autonomy translates to enhanced influence over cultural practices, rituals, or intergenerational transmission of values. The mechanisms through which financial resources impact cultural agency remain poorly understood.</w:t>
            </w:r>
          </w:p>
          <w:p w14:paraId="0FE3CBAE">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Secondly, there is a scarcity of longitudinal and intergenerational research. Most studies adopt cross-sectional designs, capturing a snapshot of women’s empowerment without tracing how financial independence affects cultural roles over time or across generations. Intergenerational dynamics, such as how empowered mothers influence daughters’ and sons’ engagement with family traditions, remain largely unexamined. Long-term studies could reveal whether financial autonomy results in sustained changes in gendered authority or whether traditional cultural expectations persist despite economic empowerment.</w:t>
            </w:r>
          </w:p>
          <w:p w14:paraId="03657EC1">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Thirdly, there is limited research in diverse sociocultural contexts. Much of the literature focuses on urban or Western populations, with insufficient attention to rural areas, marginalized communities, or ethnic minorities. Programs like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(Verma &amp; Singh, 2024) provide context-specific insights into empowerment, yet comparative studies across different regions, classes, or cultural groups are rare. Furthermore, the experience of diaspora women in preserving culture while exercising financial independence has been explored (Espiritu, 2001; Anthias, 2013), but broader comparative frameworks are missing.</w:t>
            </w:r>
          </w:p>
          <w:p w14:paraId="20B0E42D">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Another gap lies in understanding the gendered distribution of cultural labor. Research identifies women as primary custodians of family culture (Bhatia &amp; Ram, 2020), yet it rarely investigates whether financial independence redistributes cultural responsibilities or whether the burden remains largely on women. Similarly, while financial autonomy is often equated with empowerment, few studies operationalize or measure women’s authority in family decision-making or cultural preservation systematically. Standardized tools for assessing the interplay between economic power and cultural agency are needed.</w:t>
            </w:r>
          </w:p>
          <w:p w14:paraId="63540371">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Finally, intersectional and structural factors require more attention. Social categories such as caste, disability, and migration status intersect with gender to influence women’s ability to exercise authority within the family (European Institute for Gender Equality, 2024). Structural barriers—including patriarchal norms, societal expectations, and policy limitations—remain underexplored, particularly regarding how they mediate the relationship between financial independence and cultural leadership.</w:t>
            </w:r>
          </w:p>
          <w:p w14:paraId="429224BC">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In conclusion, although existing research recognizes women’s pivotal role in cultural preservation and the potential of financial independence to enhance authority, critical gaps remain. Future studies should integrate economic and cultural dimensions, adopt longitudinal designs, include diverse sociocultural contexts, and develop systematic measures of authority and cultural agency. Addressing these gaps will enable a more comprehensive understanding of how financial independence shapes women’s ability to preserve and influence family culture while promoting gender equity.</w:t>
            </w:r>
          </w:p>
          <w:p w14:paraId="178D1643">
            <w:pPr>
              <w:rPr>
                <w:rFonts w:hint="default" w:ascii="Times New Roman" w:hAnsi="Times New Roman" w:cs="Times New Roman"/>
                <w:b w:val="0"/>
                <w:bCs w:val="0"/>
                <w:i w:val="0"/>
                <w:iCs w:val="0"/>
                <w:color w:val="auto"/>
                <w:sz w:val="24"/>
                <w:szCs w:val="24"/>
              </w:rPr>
            </w:pPr>
          </w:p>
        </w:tc>
      </w:tr>
      <w:tr w14:paraId="1F20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 w:type="dxa"/>
          </w:tcPr>
          <w:p w14:paraId="65839B72">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04EF5B67">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Uniqueness and Originality of the Study (approx. 300 words)</w:t>
            </w:r>
          </w:p>
        </w:tc>
        <w:tc>
          <w:tcPr>
            <w:tcW w:w="6311" w:type="dxa"/>
            <w:gridSpan w:val="6"/>
          </w:tcPr>
          <w:p w14:paraId="25D776DD">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proposed study on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as a catalyst for strengthening gender roles and enhancing women’s contribution to preserving family culture presents several dimensions of originality that distinguish it from existing research. While previous studies have explored women’s roles as cultural custodians (Schneider &amp; Müller, 2023; Chodorow, 1978) and examined the effects of financial empowerment programs on household decision-making (Choudhary &amp; Ray, 2024; Shohel, 2021), few have systematically investigated the intersection of state-led financial initiatives with women’s cultural responsibilities. This research uniquely integrates economic empowerment, policy intervention, and cultural preservation to offer a holistic understanding of women’s agency within both financial and familial spheres.</w:t>
            </w:r>
          </w:p>
          <w:p w14:paraId="4E2E6ABC">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Unlike conventional analyses of microfinance or welfare schemes, this study conceptualizes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not solely as an economic intervention but as a socio-cultural mechanism that both reinforces and reshapes gender roles within families. By examining the program’s dual impact—enhancing women’s financial independence while positioning them as active custodians of family culture—the study explores how empowerment initiatives can simultaneously challenge and sustain traditional norms.</w:t>
            </w:r>
          </w:p>
          <w:p w14:paraId="3118B73A">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Methodologically, the study adopts a qualitative approach to capture women’s lived experiences, agency, and negotiation of cultural expectations—dimensions often overlooked in prior quantitative evaluations of empowerment programs. It situates the analysis within the Indian socio-cultural context, considering variations across caste, region, and family structure, and investigates how women leverage financial autonomy to assert authority in cultural and household decision-making.</w:t>
            </w:r>
          </w:p>
          <w:p w14:paraId="321139F1">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study also contributes to theoretical discourse on gender dynamics by bridging policy studies, feminist theory, and cultural sociology. By linking government interventions with tangible outcomes in family culture preservation, it highlights how targeted programs can act as catalysts for both women’s empowerment and the continuity of cultural heritage. This integrative perspective not only advances scholarly understanding but also provides a practical framework for designing gender-sensitive policies and culturally informed development initiatives.</w:t>
            </w:r>
          </w:p>
          <w:p w14:paraId="6D9242FA">
            <w:pPr>
              <w:rPr>
                <w:rFonts w:hint="default" w:ascii="Times New Roman" w:hAnsi="Times New Roman" w:cs="Times New Roman"/>
                <w:b w:val="0"/>
                <w:bCs w:val="0"/>
                <w:i w:val="0"/>
                <w:iCs w:val="0"/>
                <w:color w:val="auto"/>
                <w:sz w:val="24"/>
                <w:szCs w:val="24"/>
              </w:rPr>
            </w:pPr>
          </w:p>
        </w:tc>
      </w:tr>
      <w:tr w14:paraId="3AAA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953" w:type="dxa"/>
          </w:tcPr>
          <w:p w14:paraId="360519E6">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746B937B">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Objectives of the Proposed Study (approx. 300 words)</w:t>
            </w:r>
          </w:p>
          <w:p w14:paraId="7CBF4B0B">
            <w:pPr>
              <w:rPr>
                <w:rFonts w:hint="default" w:ascii="Times New Roman" w:hAnsi="Times New Roman" w:cs="Times New Roman"/>
                <w:b w:val="0"/>
                <w:bCs w:val="0"/>
                <w:i w:val="0"/>
                <w:iCs w:val="0"/>
                <w:color w:val="auto"/>
                <w:sz w:val="24"/>
                <w:szCs w:val="24"/>
                <w:u w:val="single"/>
              </w:rPr>
            </w:pPr>
            <w:r>
              <w:rPr>
                <w:rFonts w:hint="default" w:ascii="Times New Roman" w:hAnsi="Times New Roman" w:cs="Times New Roman"/>
                <w:b w:val="0"/>
                <w:bCs w:val="0"/>
                <w:i w:val="0"/>
                <w:iCs w:val="0"/>
                <w:color w:val="auto"/>
                <w:sz w:val="24"/>
                <w:szCs w:val="24"/>
                <w:u w:val="single"/>
              </w:rPr>
              <w:t>(List main and specific objectives of the research)</w:t>
            </w:r>
          </w:p>
        </w:tc>
        <w:tc>
          <w:tcPr>
            <w:tcW w:w="6311" w:type="dxa"/>
            <w:gridSpan w:val="6"/>
          </w:tcPr>
          <w:p w14:paraId="7E7C5D31">
            <w:pPr>
              <w:pStyle w:val="14"/>
              <w:keepNext w:val="0"/>
              <w:keepLines w:val="0"/>
              <w:widowControl/>
              <w:suppressLineNumbers w:val="0"/>
              <w:rPr>
                <w:rFonts w:hint="default" w:ascii="Times New Roman" w:hAnsi="Times New Roman" w:eastAsia="SimSun" w:cs="Times New Roman"/>
                <w:b w:val="0"/>
                <w:bCs w:val="0"/>
                <w:i w:val="0"/>
                <w:iCs w:val="0"/>
                <w:color w:val="auto"/>
                <w:sz w:val="24"/>
                <w:szCs w:val="24"/>
              </w:rPr>
            </w:pPr>
            <w:r>
              <w:rPr>
                <w:rFonts w:hint="default" w:ascii="Times New Roman" w:hAnsi="Times New Roman" w:eastAsia="SimSun" w:cs="Times New Roman"/>
                <w:b w:val="0"/>
                <w:bCs w:val="0"/>
                <w:i w:val="0"/>
                <w:iCs w:val="0"/>
                <w:color w:val="auto"/>
                <w:sz w:val="24"/>
                <w:szCs w:val="24"/>
              </w:rPr>
              <w:t xml:space="preserve">The proposed study aims to examine the role of </w:t>
            </w:r>
            <w:r>
              <w:rPr>
                <w:rStyle w:val="13"/>
                <w:rFonts w:hint="default" w:ascii="Times New Roman" w:hAnsi="Times New Roman" w:eastAsia="SimSun" w:cs="Times New Roman"/>
                <w:b w:val="0"/>
                <w:bCs w:val="0"/>
                <w:i w:val="0"/>
                <w:iCs w:val="0"/>
                <w:color w:val="auto"/>
                <w:sz w:val="24"/>
                <w:szCs w:val="24"/>
              </w:rPr>
              <w:t>Ladli Bahna Yojana</w:t>
            </w:r>
            <w:r>
              <w:rPr>
                <w:rFonts w:hint="default" w:ascii="Times New Roman" w:hAnsi="Times New Roman" w:eastAsia="SimSun" w:cs="Times New Roman"/>
                <w:b w:val="0"/>
                <w:bCs w:val="0"/>
                <w:i w:val="0"/>
                <w:iCs w:val="0"/>
                <w:color w:val="auto"/>
                <w:sz w:val="24"/>
                <w:szCs w:val="24"/>
              </w:rPr>
              <w:t xml:space="preserve"> as a catalyst for strengthening gender roles and enhancing women’s contribution to preserving family culture, with a focus on the intersection of financial independence, psychological empowerment, and familial authority. The research seeks to understand how state-led financial interventions influence gender dynamics, women’s agency, psychological well-being, and the transmission of cultural values within the family. By exploring both socio-cultural and psychological dimensions, the study aspires to provide a holistic understanding of women’s empowerment in the Indian socio-cultural context.</w:t>
            </w:r>
          </w:p>
          <w:p w14:paraId="22082206">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Main Objective:</w:t>
            </w:r>
          </w:p>
          <w:p w14:paraId="64A52E6F">
            <w:pPr>
              <w:pStyle w:val="14"/>
              <w:keepNext w:val="0"/>
              <w:keepLines w:val="0"/>
              <w:widowControl/>
              <w:suppressLineNumbers w:val="0"/>
              <w:rPr>
                <w:rFonts w:hint="default" w:ascii="Times New Roman" w:hAnsi="Times New Roman" w:eastAsia="SimSun" w:cs="Times New Roman"/>
                <w:b w:val="0"/>
                <w:bCs w:val="0"/>
                <w:color w:val="auto"/>
                <w:sz w:val="24"/>
                <w:szCs w:val="24"/>
              </w:rPr>
            </w:pPr>
            <w:r>
              <w:rPr>
                <w:rFonts w:hint="default" w:ascii="Times New Roman" w:hAnsi="Times New Roman" w:eastAsia="SimSun" w:cs="Times New Roman"/>
                <w:b w:val="0"/>
                <w:bCs w:val="0"/>
                <w:color w:val="auto"/>
                <w:sz w:val="24"/>
                <w:szCs w:val="24"/>
              </w:rPr>
              <w:t>To analyze the impact of Ladli Bahna Yojana on the evolution of women’s roles, their psychological empowerment, and their influence on the preservation and transmission of family culture within the Indian socio-cultural framework.</w:t>
            </w:r>
          </w:p>
          <w:p w14:paraId="2AB3DE08">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Specific Objectives:</w:t>
            </w:r>
          </w:p>
          <w:p w14:paraId="4C09FE8C">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color w:val="auto"/>
                <w:sz w:val="24"/>
                <w:szCs w:val="24"/>
              </w:rPr>
              <w:t xml:space="preserve">In the context of this study, </w:t>
            </w:r>
            <w:r>
              <w:rPr>
                <w:rStyle w:val="13"/>
                <w:rFonts w:hint="default" w:ascii="Times New Roman" w:hAnsi="Times New Roman" w:cs="Times New Roman"/>
                <w:b w:val="0"/>
                <w:bCs w:val="0"/>
                <w:color w:val="auto"/>
                <w:sz w:val="24"/>
                <w:szCs w:val="24"/>
              </w:rPr>
              <w:t>family culture</w:t>
            </w:r>
            <w:r>
              <w:rPr>
                <w:rFonts w:hint="default" w:ascii="Times New Roman" w:hAnsi="Times New Roman" w:cs="Times New Roman"/>
                <w:b w:val="0"/>
                <w:bCs w:val="0"/>
                <w:color w:val="auto"/>
                <w:sz w:val="24"/>
                <w:szCs w:val="24"/>
              </w:rPr>
              <w:t xml:space="preserve"> refers to the set of shared values, practices, and decision-making patterns that shape family life and intergenerational continuity. It encompasses women’s roles and participation in:</w:t>
            </w:r>
          </w:p>
          <w:p w14:paraId="01283E17">
            <w:pPr>
              <w:pStyle w:val="14"/>
              <w:keepNext w:val="0"/>
              <w:keepLines w:val="0"/>
              <w:widowControl/>
              <w:suppressLineNumbers w:val="0"/>
              <w:ind w:left="720"/>
              <w:rPr>
                <w:rFonts w:hint="default" w:ascii="Times New Roman" w:hAnsi="Times New Roman" w:cs="Times New Roman"/>
                <w:b w:val="0"/>
                <w:bCs w:val="0"/>
                <w:color w:val="auto"/>
                <w:sz w:val="24"/>
                <w:szCs w:val="24"/>
                <w:lang w:val="en-US"/>
              </w:rPr>
            </w:pPr>
            <w:r>
              <w:rPr>
                <w:rStyle w:val="15"/>
                <w:rFonts w:hint="default" w:ascii="Times New Roman" w:hAnsi="Times New Roman" w:cs="Times New Roman"/>
                <w:b w:val="0"/>
                <w:bCs w:val="0"/>
                <w:color w:val="auto"/>
                <w:sz w:val="24"/>
                <w:szCs w:val="24"/>
              </w:rPr>
              <w:t>Children’s education and moral upbringing</w:t>
            </w:r>
          </w:p>
          <w:p w14:paraId="4292E6CC">
            <w:pPr>
              <w:pStyle w:val="14"/>
              <w:keepNext w:val="0"/>
              <w:keepLines w:val="0"/>
              <w:widowControl/>
              <w:suppressLineNumbers w:val="0"/>
              <w:ind w:left="720"/>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Household financial planning and resource management</w:t>
            </w:r>
          </w:p>
          <w:p w14:paraId="7C83BC80">
            <w:pPr>
              <w:pStyle w:val="14"/>
              <w:keepNext w:val="0"/>
              <w:keepLines w:val="0"/>
              <w:widowControl/>
              <w:suppressLineNumbers w:val="0"/>
              <w:ind w:left="720"/>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Organization of religious and cultural rituals</w:t>
            </w:r>
          </w:p>
          <w:p w14:paraId="646E8C39">
            <w:pPr>
              <w:pStyle w:val="14"/>
              <w:keepNext w:val="0"/>
              <w:keepLines w:val="0"/>
              <w:widowControl/>
              <w:suppressLineNumbers w:val="0"/>
              <w:ind w:left="720"/>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Maintenance of social relationships and inter-family obligations</w:t>
            </w:r>
          </w:p>
          <w:p w14:paraId="7E8EC9CB">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These dimensions serve as measurable indicators of women’s contribution to sustaining family culture.</w:t>
            </w:r>
          </w:p>
          <w:p w14:paraId="50B8BA5F">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eastAsia="Symbol" w:cs="Times New Roman"/>
                <w:b w:val="0"/>
                <w:bCs w:val="0"/>
                <w:color w:val="auto"/>
                <w:sz w:val="24"/>
                <w:szCs w:val="24"/>
              </w:rPr>
              <w:t>·</w:t>
            </w:r>
            <w:r>
              <w:rPr>
                <w:rFonts w:hint="default" w:ascii="Times New Roman" w:hAnsi="Times New Roman" w:eastAsia="SimSun" w:cs="Times New Roman"/>
                <w:b w:val="0"/>
                <w:bCs w:val="0"/>
                <w:color w:val="auto"/>
                <w:sz w:val="24"/>
                <w:szCs w:val="24"/>
              </w:rPr>
              <w:t xml:space="preserve">  </w:t>
            </w:r>
            <w:r>
              <w:rPr>
                <w:rStyle w:val="15"/>
                <w:rFonts w:hint="default" w:ascii="Times New Roman" w:hAnsi="Times New Roman" w:cs="Times New Roman"/>
                <w:b w:val="0"/>
                <w:bCs w:val="0"/>
                <w:color w:val="auto"/>
                <w:sz w:val="24"/>
                <w:szCs w:val="24"/>
              </w:rPr>
              <w:t>To establish the baseline socio-economic and psychological profiles</w:t>
            </w:r>
            <w:r>
              <w:rPr>
                <w:rFonts w:hint="default" w:ascii="Times New Roman" w:hAnsi="Times New Roman" w:cs="Times New Roman"/>
                <w:b w:val="0"/>
                <w:bCs w:val="0"/>
                <w:color w:val="auto"/>
                <w:sz w:val="24"/>
                <w:szCs w:val="24"/>
              </w:rPr>
              <w:t xml:space="preserve"> of women beneficiaries and non-beneficiaries of the Ladli Bahna Yojana.</w:t>
            </w:r>
          </w:p>
          <w:p w14:paraId="7ED27930">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eastAsia="Symbol" w:cs="Times New Roman"/>
                <w:b w:val="0"/>
                <w:bCs w:val="0"/>
                <w:color w:val="auto"/>
                <w:sz w:val="24"/>
                <w:szCs w:val="24"/>
              </w:rPr>
              <w:t>·</w:t>
            </w:r>
            <w:r>
              <w:rPr>
                <w:rFonts w:hint="default" w:ascii="Times New Roman" w:hAnsi="Times New Roman" w:eastAsia="SimSun" w:cs="Times New Roman"/>
                <w:b w:val="0"/>
                <w:bCs w:val="0"/>
                <w:color w:val="auto"/>
                <w:sz w:val="24"/>
                <w:szCs w:val="24"/>
              </w:rPr>
              <w:t xml:space="preserve">   </w:t>
            </w:r>
            <w:r>
              <w:rPr>
                <w:rStyle w:val="15"/>
                <w:rFonts w:hint="default" w:ascii="Times New Roman" w:hAnsi="Times New Roman" w:cs="Times New Roman"/>
                <w:b w:val="0"/>
                <w:bCs w:val="0"/>
                <w:color w:val="auto"/>
                <w:sz w:val="24"/>
                <w:szCs w:val="24"/>
              </w:rPr>
              <w:t>To compare the levels of psychological empowerment</w:t>
            </w:r>
            <w:r>
              <w:rPr>
                <w:rFonts w:hint="default" w:ascii="Times New Roman" w:hAnsi="Times New Roman" w:cs="Times New Roman"/>
                <w:b w:val="0"/>
                <w:bCs w:val="0"/>
                <w:color w:val="auto"/>
                <w:sz w:val="24"/>
                <w:szCs w:val="24"/>
              </w:rPr>
              <w:t xml:space="preserve"> (self-esteem, self-efficacy, agency, and life satisfaction) between beneficiaries and non-beneficiaries.</w:t>
            </w:r>
          </w:p>
          <w:p w14:paraId="62B81098">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eastAsia="Symbol" w:cs="Times New Roman"/>
                <w:b w:val="0"/>
                <w:bCs w:val="0"/>
                <w:color w:val="auto"/>
                <w:sz w:val="24"/>
                <w:szCs w:val="24"/>
              </w:rPr>
              <w:t>·</w:t>
            </w:r>
            <w:r>
              <w:rPr>
                <w:rFonts w:hint="default" w:ascii="Times New Roman" w:hAnsi="Times New Roman" w:eastAsia="SimSun" w:cs="Times New Roman"/>
                <w:b w:val="0"/>
                <w:bCs w:val="0"/>
                <w:color w:val="auto"/>
                <w:sz w:val="24"/>
                <w:szCs w:val="24"/>
              </w:rPr>
              <w:t xml:space="preserve">   </w:t>
            </w:r>
            <w:r>
              <w:rPr>
                <w:rStyle w:val="15"/>
                <w:rFonts w:hint="default" w:ascii="Times New Roman" w:hAnsi="Times New Roman" w:cs="Times New Roman"/>
                <w:b w:val="0"/>
                <w:bCs w:val="0"/>
                <w:color w:val="auto"/>
                <w:sz w:val="24"/>
                <w:szCs w:val="24"/>
              </w:rPr>
              <w:t>To assess the impact of financial assistance on women’s participation</w:t>
            </w:r>
            <w:r>
              <w:rPr>
                <w:rFonts w:hint="default" w:ascii="Times New Roman" w:hAnsi="Times New Roman" w:cs="Times New Roman"/>
                <w:b w:val="0"/>
                <w:bCs w:val="0"/>
                <w:color w:val="auto"/>
                <w:sz w:val="24"/>
                <w:szCs w:val="24"/>
              </w:rPr>
              <w:t xml:space="preserve"> in key family decision-making domains, including children’s education, household budgeting, and planning of cultural and religious activities.</w:t>
            </w:r>
          </w:p>
          <w:p w14:paraId="60F493A0">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eastAsia="Symbol" w:cs="Times New Roman"/>
                <w:b w:val="0"/>
                <w:bCs w:val="0"/>
                <w:color w:val="auto"/>
                <w:sz w:val="24"/>
                <w:szCs w:val="24"/>
              </w:rPr>
              <w:t>·</w:t>
            </w:r>
            <w:r>
              <w:rPr>
                <w:rFonts w:hint="default" w:ascii="Times New Roman" w:hAnsi="Times New Roman" w:eastAsia="SimSun" w:cs="Times New Roman"/>
                <w:b w:val="0"/>
                <w:bCs w:val="0"/>
                <w:color w:val="auto"/>
                <w:sz w:val="24"/>
                <w:szCs w:val="24"/>
              </w:rPr>
              <w:t xml:space="preserve">   </w:t>
            </w:r>
            <w:r>
              <w:rPr>
                <w:rStyle w:val="15"/>
                <w:rFonts w:hint="default" w:ascii="Times New Roman" w:hAnsi="Times New Roman" w:cs="Times New Roman"/>
                <w:b w:val="0"/>
                <w:bCs w:val="0"/>
                <w:color w:val="auto"/>
                <w:sz w:val="24"/>
                <w:szCs w:val="24"/>
              </w:rPr>
              <w:t>To analyze the mediating role of psychological empowerment</w:t>
            </w:r>
            <w:r>
              <w:rPr>
                <w:rFonts w:hint="default" w:ascii="Times New Roman" w:hAnsi="Times New Roman" w:cs="Times New Roman"/>
                <w:b w:val="0"/>
                <w:bCs w:val="0"/>
                <w:color w:val="auto"/>
                <w:sz w:val="24"/>
                <w:szCs w:val="24"/>
              </w:rPr>
              <w:t xml:space="preserve"> in linking financial independence with women’s participation in cultural and familial practices.</w:t>
            </w:r>
          </w:p>
          <w:p w14:paraId="43483525">
            <w:pPr>
              <w:pStyle w:val="14"/>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eastAsia="Symbol" w:cs="Times New Roman"/>
                <w:b w:val="0"/>
                <w:bCs w:val="0"/>
                <w:color w:val="auto"/>
                <w:sz w:val="24"/>
                <w:szCs w:val="24"/>
              </w:rPr>
              <w:t>·</w:t>
            </w:r>
            <w:r>
              <w:rPr>
                <w:rFonts w:hint="default" w:ascii="Times New Roman" w:hAnsi="Times New Roman" w:eastAsia="SimSun" w:cs="Times New Roman"/>
                <w:b w:val="0"/>
                <w:bCs w:val="0"/>
                <w:color w:val="auto"/>
                <w:sz w:val="24"/>
                <w:szCs w:val="24"/>
              </w:rPr>
              <w:t xml:space="preserve">  </w:t>
            </w:r>
            <w:r>
              <w:rPr>
                <w:rStyle w:val="15"/>
                <w:rFonts w:hint="default" w:ascii="Times New Roman" w:hAnsi="Times New Roman" w:cs="Times New Roman"/>
                <w:b w:val="0"/>
                <w:bCs w:val="0"/>
                <w:color w:val="auto"/>
                <w:sz w:val="24"/>
                <w:szCs w:val="24"/>
              </w:rPr>
              <w:t>To investigate women’s subjective experiences of change</w:t>
            </w:r>
            <w:r>
              <w:rPr>
                <w:rFonts w:hint="default" w:ascii="Times New Roman" w:hAnsi="Times New Roman" w:cs="Times New Roman"/>
                <w:b w:val="0"/>
                <w:bCs w:val="0"/>
                <w:color w:val="auto"/>
                <w:sz w:val="24"/>
                <w:szCs w:val="24"/>
              </w:rPr>
              <w:t xml:space="preserve"> in familial and social standing following their participation in the Ladli Bahna Yojana.</w:t>
            </w:r>
          </w:p>
          <w:p w14:paraId="51AED191">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eastAsia="Symbol" w:cs="Times New Roman"/>
                <w:b w:val="0"/>
                <w:bCs w:val="0"/>
                <w:color w:val="auto"/>
                <w:sz w:val="24"/>
                <w:szCs w:val="24"/>
              </w:rPr>
              <w:t>·</w:t>
            </w:r>
            <w:r>
              <w:rPr>
                <w:rFonts w:hint="default" w:ascii="Times New Roman" w:hAnsi="Times New Roman" w:eastAsia="SimSun" w:cs="Times New Roman"/>
                <w:b w:val="0"/>
                <w:bCs w:val="0"/>
                <w:color w:val="auto"/>
                <w:sz w:val="24"/>
                <w:szCs w:val="24"/>
              </w:rPr>
              <w:t xml:space="preserve">   </w:t>
            </w:r>
            <w:r>
              <w:rPr>
                <w:rStyle w:val="15"/>
                <w:rFonts w:hint="default" w:ascii="Times New Roman" w:hAnsi="Times New Roman" w:cs="Times New Roman"/>
                <w:b w:val="0"/>
                <w:bCs w:val="0"/>
                <w:color w:val="auto"/>
                <w:sz w:val="24"/>
                <w:szCs w:val="24"/>
              </w:rPr>
              <w:t>To identify policy-relevant insights</w:t>
            </w:r>
            <w:r>
              <w:rPr>
                <w:rFonts w:hint="default" w:ascii="Times New Roman" w:hAnsi="Times New Roman" w:cs="Times New Roman"/>
                <w:b w:val="0"/>
                <w:bCs w:val="0"/>
                <w:color w:val="auto"/>
                <w:sz w:val="24"/>
                <w:szCs w:val="24"/>
              </w:rPr>
              <w:t xml:space="preserve"> for designing gender-sensitive programs that promote women’s empowerment while supporting the continuity of cultural values.</w:t>
            </w:r>
            <w:r>
              <w:rPr>
                <w:rFonts w:hint="default" w:ascii="Times New Roman" w:hAnsi="Times New Roman" w:eastAsia="SimSun" w:cs="Times New Roman"/>
                <w:b w:val="0"/>
                <w:bCs w:val="0"/>
                <w:color w:val="auto"/>
                <w:sz w:val="24"/>
                <w:szCs w:val="24"/>
              </w:rPr>
              <w:t xml:space="preserve"> </w:t>
            </w:r>
          </w:p>
        </w:tc>
      </w:tr>
      <w:tr w14:paraId="0388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953" w:type="dxa"/>
          </w:tcPr>
          <w:p w14:paraId="735B52E7">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11885DEF">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Research Questions /Hypotheses (if Applicable) (approx. 300–400 words)</w:t>
            </w:r>
          </w:p>
        </w:tc>
        <w:tc>
          <w:tcPr>
            <w:tcW w:w="6311" w:type="dxa"/>
            <w:gridSpan w:val="6"/>
          </w:tcPr>
          <w:p w14:paraId="720C39BC">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proposed study aims to investigate how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functions as a catalyst for strengthening gender roles and enhancing women’s contributions to preserving family culture. The research questions are designed to explore the intersection of financial independence, household authority, and cultural custodianship, with a comparative focus on women participating in the scheme and those who are not.</w:t>
            </w:r>
          </w:p>
          <w:p w14:paraId="51841EB0">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Primary Research Question</w:t>
            </w:r>
          </w:p>
          <w:p w14:paraId="2D98CC96">
            <w:pPr>
              <w:pStyle w:val="14"/>
              <w:keepNext w:val="0"/>
              <w:keepLines w:val="0"/>
              <w:widowControl/>
              <w:suppressLineNumbers w:val="0"/>
              <w:rPr>
                <w:rFonts w:hint="default" w:ascii="Times New Roman" w:hAnsi="Times New Roman" w:eastAsia="SimSun" w:cs="Times New Roman"/>
                <w:b w:val="0"/>
                <w:bCs w:val="0"/>
                <w:i w:val="0"/>
                <w:iCs w:val="0"/>
                <w:color w:val="auto"/>
                <w:sz w:val="24"/>
                <w:szCs w:val="24"/>
              </w:rPr>
            </w:pPr>
            <w:r>
              <w:rPr>
                <w:rFonts w:hint="default" w:ascii="Times New Roman" w:hAnsi="Times New Roman" w:eastAsia="SimSun" w:cs="Times New Roman"/>
                <w:b w:val="0"/>
                <w:bCs w:val="0"/>
                <w:i w:val="0"/>
                <w:iCs w:val="0"/>
                <w:color w:val="auto"/>
                <w:sz w:val="24"/>
                <w:szCs w:val="24"/>
              </w:rPr>
              <w:t xml:space="preserve">How does </w:t>
            </w:r>
            <w:r>
              <w:rPr>
                <w:rStyle w:val="13"/>
                <w:rFonts w:hint="default" w:ascii="Times New Roman" w:hAnsi="Times New Roman" w:eastAsia="SimSun" w:cs="Times New Roman"/>
                <w:b w:val="0"/>
                <w:bCs w:val="0"/>
                <w:i w:val="0"/>
                <w:iCs w:val="0"/>
                <w:color w:val="auto"/>
                <w:sz w:val="24"/>
                <w:szCs w:val="24"/>
              </w:rPr>
              <w:t>Ladli Bahna Yojana</w:t>
            </w:r>
            <w:r>
              <w:rPr>
                <w:rFonts w:hint="default" w:ascii="Times New Roman" w:hAnsi="Times New Roman" w:eastAsia="SimSun" w:cs="Times New Roman"/>
                <w:b w:val="0"/>
                <w:bCs w:val="0"/>
                <w:i w:val="0"/>
                <w:iCs w:val="0"/>
                <w:color w:val="auto"/>
                <w:sz w:val="24"/>
                <w:szCs w:val="24"/>
              </w:rPr>
              <w:t xml:space="preserve"> function as a catalyst for strengthening gender roles and enhancing women’s contribution to preserving and transmitting family culture through financial independence and psychological empowerment?</w:t>
            </w:r>
          </w:p>
          <w:p w14:paraId="6DC764A4">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Secondary Research Questions:</w:t>
            </w:r>
          </w:p>
          <w:p w14:paraId="2AB8277F">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rPr>
              <w:t xml:space="preserve">How does financial independence gained through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influence women’s psychological well-being, particularly in terms of self-esteem, self-efficacy, and life satisfaction?</w:t>
            </w:r>
          </w:p>
          <w:p w14:paraId="23BEF4AF">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rPr>
              <w:t>In what ways does participation in the scheme affect women’s sense of personal agency, confidence, and perceived control over household and life decisions?</w:t>
            </w:r>
          </w:p>
          <w:p w14:paraId="6094ED0F">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rPr>
              <w:t>How does the scheme shape women’s gender identity, self-concept, and perceived social status within their families and communities?</w:t>
            </w:r>
          </w:p>
          <w:p w14:paraId="1A29CC2E">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rPr>
              <w:t>To what extent does psychological empowerment mediate the relationship between financial autonomy and women’s participation in cultural and familial activities?</w:t>
            </w:r>
          </w:p>
          <w:p w14:paraId="7A4CBA5F">
            <w:pPr>
              <w:pStyle w:val="14"/>
              <w:keepNext w:val="0"/>
              <w:keepLines w:val="0"/>
              <w:widowControl/>
              <w:suppressLineNumbers w:val="0"/>
              <w:rPr>
                <w:rFonts w:hint="default" w:ascii="Times New Roman" w:hAnsi="Times New Roman" w:eastAsia="SimSun" w:cs="Times New Roman"/>
                <w:b w:val="0"/>
                <w:bCs w:val="0"/>
                <w:i w:val="0"/>
                <w:iCs w:val="0"/>
                <w:color w:val="auto"/>
                <w:sz w:val="24"/>
                <w:szCs w:val="24"/>
              </w:rPr>
            </w:pP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rPr>
              <w:t>Does increased economic stability among beneficiaries lead to a reduction in psychological stress, dependence, and feelings of marginalization compared to non-beneficiaries?</w:t>
            </w:r>
            <w:r>
              <w:rPr>
                <w:rFonts w:hint="default" w:ascii="Times New Roman" w:hAnsi="Times New Roman" w:eastAsia="SimSun" w:cs="Times New Roman"/>
                <w:b w:val="0"/>
                <w:bCs w:val="0"/>
                <w:i w:val="0"/>
                <w:iCs w:val="0"/>
                <w:color w:val="auto"/>
                <w:sz w:val="24"/>
                <w:szCs w:val="24"/>
              </w:rPr>
              <w:t xml:space="preserve"> </w:t>
            </w:r>
          </w:p>
          <w:p w14:paraId="38D42EBA">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rPr>
              <w:t>What emotional and motivational changes are experienced by women as they transition from economic dependency to becoming active financial contributors within the household?</w:t>
            </w:r>
          </w:p>
          <w:p w14:paraId="53CEF6AA">
            <w:pPr>
              <w:pStyle w:val="14"/>
              <w:keepNext w:val="0"/>
              <w:keepLines w:val="0"/>
              <w:widowControl/>
              <w:suppressLineNumbers w:val="0"/>
              <w:rPr>
                <w:rFonts w:hint="default" w:ascii="Times New Roman" w:hAnsi="Times New Roman" w:eastAsia="SimSun" w:cs="Times New Roman"/>
                <w:b w:val="0"/>
                <w:bCs w:val="0"/>
                <w:i w:val="0"/>
                <w:iCs w:val="0"/>
                <w:color w:val="auto"/>
                <w:sz w:val="24"/>
                <w:szCs w:val="24"/>
              </w:rPr>
            </w:pP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rPr>
              <w:t xml:space="preserve">How do women beneficiaries of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differ from non-beneficiaries in terms of decision-making authority, financial independence, and their role in the preservation of family culture?</w:t>
            </w:r>
            <w:r>
              <w:rPr>
                <w:rFonts w:hint="default" w:ascii="Times New Roman" w:hAnsi="Times New Roman" w:eastAsia="SimSun" w:cs="Times New Roman"/>
                <w:b w:val="0"/>
                <w:bCs w:val="0"/>
                <w:i w:val="0"/>
                <w:iCs w:val="0"/>
                <w:color w:val="auto"/>
                <w:sz w:val="24"/>
                <w:szCs w:val="24"/>
              </w:rPr>
              <w:t xml:space="preserve">  </w:t>
            </w:r>
          </w:p>
          <w:p w14:paraId="725DE332">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rPr>
              <w:t>What socio-cultural factors—such as caste, education, regional variations, and family structure—influence the relationship between financial empowerment and women’s authority in cultural and familial matters?</w:t>
            </w:r>
          </w:p>
          <w:p w14:paraId="561AF385">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rPr>
              <w:t xml:space="preserve">In what ways does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act not only as an economic empowerment initiative but also as a socio-cultural mechanism that redefines traditional gender norms within households?</w:t>
            </w:r>
          </w:p>
          <w:p w14:paraId="5E6B4126">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eastAsia="Symbol" w:cs="Times New Roman"/>
                <w:b w:val="0"/>
                <w:bCs w:val="0"/>
                <w:i w:val="0"/>
                <w:iCs w:val="0"/>
                <w:color w:val="auto"/>
                <w:sz w:val="24"/>
                <w:szCs w:val="24"/>
              </w:rPr>
              <w:t>·</w:t>
            </w: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rPr>
              <w:t>What policy-relevant insights can be drawn from understanding the interaction between financial autonomy, psychological well-being, and cultural custodianship for designing gender-sensitive development programs?</w:t>
            </w:r>
          </w:p>
          <w:p w14:paraId="278164BF">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sz w:val="24"/>
                <w:szCs w:val="24"/>
              </w:rPr>
              <w:t xml:space="preserve"> </w:t>
            </w:r>
            <w:r>
              <w:rPr>
                <w:rFonts w:hint="default" w:ascii="Times New Roman" w:hAnsi="Times New Roman" w:cs="Times New Roman"/>
                <w:b w:val="0"/>
                <w:bCs w:val="0"/>
                <w:i w:val="0"/>
                <w:iCs w:val="0"/>
                <w:color w:val="auto"/>
                <w:sz w:val="24"/>
                <w:szCs w:val="24"/>
              </w:rPr>
              <w:t xml:space="preserve">These research questions collectively aim to provide a comprehensive understanding of the ways in which government interventions like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influence women’s agency in financial, cultural, and familial domains. By addressing both participants and non-participants, the study seeks to identify measurable differences in empowerment, authority, and cultural engagement, thereby filling a significant gap in existing research on gender dynamics and the preservation of family culture in India.</w:t>
            </w:r>
          </w:p>
          <w:p w14:paraId="37885099">
            <w:pPr>
              <w:rPr>
                <w:rFonts w:hint="default" w:ascii="Times New Roman" w:hAnsi="Times New Roman" w:cs="Times New Roman"/>
                <w:b w:val="0"/>
                <w:bCs w:val="0"/>
                <w:i w:val="0"/>
                <w:iCs w:val="0"/>
                <w:color w:val="auto"/>
                <w:sz w:val="24"/>
                <w:szCs w:val="24"/>
              </w:rPr>
            </w:pPr>
          </w:p>
        </w:tc>
      </w:tr>
      <w:tr w14:paraId="64E7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953" w:type="dxa"/>
          </w:tcPr>
          <w:p w14:paraId="501D318B">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790326C2">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Proposed Methodology, Sampling Design, and Research Design (approx. 1000 words)</w:t>
            </w:r>
          </w:p>
        </w:tc>
        <w:tc>
          <w:tcPr>
            <w:tcW w:w="6311" w:type="dxa"/>
            <w:gridSpan w:val="6"/>
          </w:tcPr>
          <w:p w14:paraId="495F71A2">
            <w:pPr>
              <w:pStyle w:val="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sz w:val="24"/>
                <w:szCs w:val="24"/>
              </w:rPr>
              <w:t xml:space="preserve">This research adopts a </w:t>
            </w:r>
            <w:r>
              <w:rPr>
                <w:rStyle w:val="15"/>
                <w:rFonts w:hint="default" w:ascii="Times New Roman" w:hAnsi="Times New Roman" w:eastAsia="SimSun" w:cs="Times New Roman"/>
                <w:b w:val="0"/>
                <w:bCs w:val="0"/>
                <w:i w:val="0"/>
                <w:iCs w:val="0"/>
                <w:color w:val="auto"/>
                <w:sz w:val="24"/>
                <w:szCs w:val="24"/>
              </w:rPr>
              <w:t>qualitative, interpretive methodology</w:t>
            </w:r>
            <w:r>
              <w:rPr>
                <w:rFonts w:hint="default" w:ascii="Times New Roman" w:hAnsi="Times New Roman" w:eastAsia="SimSun" w:cs="Times New Roman"/>
                <w:b w:val="0"/>
                <w:bCs w:val="0"/>
                <w:i w:val="0"/>
                <w:iCs w:val="0"/>
                <w:color w:val="auto"/>
                <w:sz w:val="24"/>
                <w:szCs w:val="24"/>
              </w:rPr>
              <w:t xml:space="preserve"> grounded in phenomenology and multiple case study design, with a </w:t>
            </w:r>
            <w:r>
              <w:rPr>
                <w:rStyle w:val="15"/>
                <w:rFonts w:hint="default" w:ascii="Times New Roman" w:hAnsi="Times New Roman" w:eastAsia="SimSun" w:cs="Times New Roman"/>
                <w:b w:val="0"/>
                <w:bCs w:val="0"/>
                <w:i w:val="0"/>
                <w:iCs w:val="0"/>
                <w:color w:val="auto"/>
                <w:sz w:val="24"/>
                <w:szCs w:val="24"/>
              </w:rPr>
              <w:t>comparative element</w:t>
            </w:r>
            <w:r>
              <w:rPr>
                <w:rFonts w:hint="default" w:ascii="Times New Roman" w:hAnsi="Times New Roman" w:eastAsia="SimSun" w:cs="Times New Roman"/>
                <w:b w:val="0"/>
                <w:bCs w:val="0"/>
                <w:i w:val="0"/>
                <w:iCs w:val="0"/>
                <w:color w:val="auto"/>
                <w:sz w:val="24"/>
                <w:szCs w:val="24"/>
              </w:rPr>
              <w:t xml:space="preserve"> between women who are beneficiaries and non-beneficiaries of the </w:t>
            </w:r>
            <w:r>
              <w:rPr>
                <w:rStyle w:val="13"/>
                <w:rFonts w:hint="default" w:ascii="Times New Roman" w:hAnsi="Times New Roman" w:eastAsia="SimSun" w:cs="Times New Roman"/>
                <w:b w:val="0"/>
                <w:bCs w:val="0"/>
                <w:i w:val="0"/>
                <w:iCs w:val="0"/>
                <w:color w:val="auto"/>
                <w:sz w:val="24"/>
                <w:szCs w:val="24"/>
              </w:rPr>
              <w:t>Ladli Bahna Yojana</w:t>
            </w:r>
            <w:r>
              <w:rPr>
                <w:rFonts w:hint="default" w:ascii="Times New Roman" w:hAnsi="Times New Roman" w:eastAsia="SimSun" w:cs="Times New Roman"/>
                <w:b w:val="0"/>
                <w:bCs w:val="0"/>
                <w:i w:val="0"/>
                <w:iCs w:val="0"/>
                <w:color w:val="auto"/>
                <w:sz w:val="24"/>
                <w:szCs w:val="24"/>
              </w:rPr>
              <w:t>. The primary objective is to generate rich, context-based insights into how financial independence influences women’s authority within households, their participation in cultural preservation, and the reconfiguration of traditional gender roles. Phenomenology provides a framework to capture women’s lived experiences and subjective meanings attached to empowerment, while the case study approach allows for context-specific analysis within selected communities. The study’s interpretive orientation emphasizes understanding the ways in which the scheme intersects with social, cultural, and familial structures, rather than quantifying its outcomes.</w:t>
            </w:r>
            <w:r>
              <w:rPr>
                <w:rStyle w:val="15"/>
                <w:rFonts w:hint="default" w:ascii="Times New Roman" w:hAnsi="Times New Roman" w:cs="Times New Roman"/>
                <w:b w:val="0"/>
                <w:bCs w:val="0"/>
                <w:i w:val="0"/>
                <w:iCs w:val="0"/>
                <w:color w:val="auto"/>
                <w:sz w:val="24"/>
                <w:szCs w:val="24"/>
              </w:rPr>
              <w:t>2. Site Selection (Districts and Villages) – Sampling Strategy and Justification</w:t>
            </w:r>
          </w:p>
          <w:p w14:paraId="148A49C1">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study will be conducted in </w:t>
            </w:r>
            <w:r>
              <w:rPr>
                <w:rStyle w:val="15"/>
                <w:rFonts w:hint="default" w:ascii="Times New Roman" w:hAnsi="Times New Roman" w:cs="Times New Roman"/>
                <w:b w:val="0"/>
                <w:bCs w:val="0"/>
                <w:i w:val="0"/>
                <w:iCs w:val="0"/>
                <w:color w:val="auto"/>
                <w:sz w:val="24"/>
                <w:szCs w:val="24"/>
              </w:rPr>
              <w:t>three districts of Madhya Pradesh: Bhopal, Rewa, and Khandwa</w:t>
            </w:r>
            <w:r>
              <w:rPr>
                <w:rFonts w:hint="default" w:ascii="Times New Roman" w:hAnsi="Times New Roman" w:cs="Times New Roman"/>
                <w:b w:val="0"/>
                <w:bCs w:val="0"/>
                <w:i w:val="0"/>
                <w:iCs w:val="0"/>
                <w:color w:val="auto"/>
                <w:sz w:val="24"/>
                <w:szCs w:val="24"/>
              </w:rPr>
              <w:t>, which represent diverse socio-economic and cultural contexts as well as different levels of implementation of the Ladli Bahna Yojana.</w:t>
            </w:r>
          </w:p>
          <w:p w14:paraId="44D51B09">
            <w:pPr>
              <w:pStyle w:val="14"/>
              <w:keepNext w:val="0"/>
              <w:keepLines w:val="0"/>
              <w:widowControl/>
              <w:numPr>
                <w:ilvl w:val="0"/>
                <w:numId w:val="3"/>
              </w:numPr>
              <w:suppressLineNumbers w:val="0"/>
              <w:ind w:left="420" w:leftChars="0" w:hanging="420" w:firstLineChars="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Bhopal</w:t>
            </w:r>
            <w:r>
              <w:rPr>
                <w:rFonts w:hint="default" w:ascii="Times New Roman" w:hAnsi="Times New Roman" w:cs="Times New Roman"/>
                <w:b w:val="0"/>
                <w:bCs w:val="0"/>
                <w:i w:val="0"/>
                <w:iCs w:val="0"/>
                <w:color w:val="auto"/>
                <w:sz w:val="24"/>
                <w:szCs w:val="24"/>
              </w:rPr>
              <w:t xml:space="preserve"> represents an </w:t>
            </w:r>
            <w:r>
              <w:rPr>
                <w:rStyle w:val="15"/>
                <w:rFonts w:hint="default" w:ascii="Times New Roman" w:hAnsi="Times New Roman" w:cs="Times New Roman"/>
                <w:b w:val="0"/>
                <w:bCs w:val="0"/>
                <w:i w:val="0"/>
                <w:iCs w:val="0"/>
                <w:color w:val="auto"/>
                <w:sz w:val="24"/>
                <w:szCs w:val="24"/>
              </w:rPr>
              <w:t>urban and semi-urban context</w:t>
            </w:r>
            <w:r>
              <w:rPr>
                <w:rFonts w:hint="default" w:ascii="Times New Roman" w:hAnsi="Times New Roman" w:cs="Times New Roman"/>
                <w:b w:val="0"/>
                <w:bCs w:val="0"/>
                <w:i w:val="0"/>
                <w:iCs w:val="0"/>
                <w:color w:val="auto"/>
                <w:sz w:val="24"/>
                <w:szCs w:val="24"/>
              </w:rPr>
              <w:t xml:space="preserve"> where the scheme has achieved wide coverage and administrative efficiency.</w:t>
            </w:r>
          </w:p>
          <w:p w14:paraId="68D986A5">
            <w:pPr>
              <w:pStyle w:val="14"/>
              <w:keepNext w:val="0"/>
              <w:keepLines w:val="0"/>
              <w:widowControl/>
              <w:numPr>
                <w:ilvl w:val="0"/>
                <w:numId w:val="4"/>
              </w:numPr>
              <w:suppressLineNumbers w:val="0"/>
              <w:ind w:left="420" w:leftChars="0" w:hanging="420" w:firstLineChars="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Rewa</w:t>
            </w:r>
            <w:r>
              <w:rPr>
                <w:rFonts w:hint="default" w:ascii="Times New Roman" w:hAnsi="Times New Roman" w:cs="Times New Roman"/>
                <w:b w:val="0"/>
                <w:bCs w:val="0"/>
                <w:i w:val="0"/>
                <w:iCs w:val="0"/>
                <w:color w:val="auto"/>
                <w:sz w:val="24"/>
                <w:szCs w:val="24"/>
              </w:rPr>
              <w:t xml:space="preserve">, located in the Vindhya region, provides a </w:t>
            </w:r>
            <w:r>
              <w:rPr>
                <w:rStyle w:val="15"/>
                <w:rFonts w:hint="default" w:ascii="Times New Roman" w:hAnsi="Times New Roman" w:cs="Times New Roman"/>
                <w:b w:val="0"/>
                <w:bCs w:val="0"/>
                <w:i w:val="0"/>
                <w:iCs w:val="0"/>
                <w:color w:val="auto"/>
                <w:sz w:val="24"/>
                <w:szCs w:val="24"/>
              </w:rPr>
              <w:t>rural and semi-rural context</w:t>
            </w:r>
            <w:r>
              <w:rPr>
                <w:rFonts w:hint="default" w:ascii="Times New Roman" w:hAnsi="Times New Roman" w:cs="Times New Roman"/>
                <w:b w:val="0"/>
                <w:bCs w:val="0"/>
                <w:i w:val="0"/>
                <w:iCs w:val="0"/>
                <w:color w:val="auto"/>
                <w:sz w:val="24"/>
                <w:szCs w:val="24"/>
              </w:rPr>
              <w:t>, highlighting traditional family systems and deep-rooted cultural practices.</w:t>
            </w:r>
          </w:p>
          <w:p w14:paraId="227D2F24">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Khandwa</w:t>
            </w:r>
            <w:r>
              <w:rPr>
                <w:rFonts w:hint="default" w:ascii="Times New Roman" w:hAnsi="Times New Roman" w:cs="Times New Roman"/>
                <w:b w:val="0"/>
                <w:bCs w:val="0"/>
                <w:i w:val="0"/>
                <w:iCs w:val="0"/>
                <w:color w:val="auto"/>
                <w:sz w:val="24"/>
                <w:szCs w:val="24"/>
              </w:rPr>
              <w:t xml:space="preserve">, situated in the Nimar region, offers a </w:t>
            </w:r>
            <w:r>
              <w:rPr>
                <w:rStyle w:val="15"/>
                <w:rFonts w:hint="default" w:ascii="Times New Roman" w:hAnsi="Times New Roman" w:cs="Times New Roman"/>
                <w:b w:val="0"/>
                <w:bCs w:val="0"/>
                <w:i w:val="0"/>
                <w:iCs w:val="0"/>
                <w:color w:val="auto"/>
                <w:sz w:val="24"/>
                <w:szCs w:val="24"/>
              </w:rPr>
              <w:t>mixed tribal and agrarian context</w:t>
            </w:r>
            <w:r>
              <w:rPr>
                <w:rFonts w:hint="default" w:ascii="Times New Roman" w:hAnsi="Times New Roman" w:cs="Times New Roman"/>
                <w:b w:val="0"/>
                <w:bCs w:val="0"/>
                <w:i w:val="0"/>
                <w:iCs w:val="0"/>
                <w:color w:val="auto"/>
                <w:sz w:val="24"/>
                <w:szCs w:val="24"/>
              </w:rPr>
              <w:t>, allowing exploration of how cultural traditions intersect with women’s economic roles.</w:t>
            </w:r>
          </w:p>
          <w:p w14:paraId="463F9E2C">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These three districts provide adequate contrast between </w:t>
            </w:r>
            <w:r>
              <w:rPr>
                <w:rStyle w:val="15"/>
                <w:rFonts w:hint="default" w:ascii="Times New Roman" w:hAnsi="Times New Roman" w:cs="Times New Roman"/>
                <w:b w:val="0"/>
                <w:bCs w:val="0"/>
                <w:i w:val="0"/>
                <w:iCs w:val="0"/>
                <w:color w:val="auto"/>
                <w:sz w:val="24"/>
                <w:szCs w:val="24"/>
              </w:rPr>
              <w:t>high coverage (Bhopal)</w:t>
            </w:r>
            <w:r>
              <w:rPr>
                <w:rFonts w:hint="default" w:ascii="Times New Roman" w:hAnsi="Times New Roman" w:cs="Times New Roman"/>
                <w:b w:val="0"/>
                <w:bCs w:val="0"/>
                <w:i w:val="0"/>
                <w:iCs w:val="0"/>
                <w:color w:val="auto"/>
                <w:sz w:val="24"/>
                <w:szCs w:val="24"/>
              </w:rPr>
              <w:t xml:space="preserve"> and </w:t>
            </w:r>
            <w:r>
              <w:rPr>
                <w:rStyle w:val="15"/>
                <w:rFonts w:hint="default" w:ascii="Times New Roman" w:hAnsi="Times New Roman" w:cs="Times New Roman"/>
                <w:b w:val="0"/>
                <w:bCs w:val="0"/>
                <w:i w:val="0"/>
                <w:iCs w:val="0"/>
                <w:color w:val="auto"/>
                <w:sz w:val="24"/>
                <w:szCs w:val="24"/>
              </w:rPr>
              <w:t>medium or lower coverage (Rewa and Khandwa)</w:t>
            </w:r>
            <w:r>
              <w:rPr>
                <w:rFonts w:hint="default" w:ascii="Times New Roman" w:hAnsi="Times New Roman" w:cs="Times New Roman"/>
                <w:b w:val="0"/>
                <w:bCs w:val="0"/>
                <w:i w:val="0"/>
                <w:iCs w:val="0"/>
                <w:color w:val="auto"/>
                <w:sz w:val="24"/>
                <w:szCs w:val="24"/>
              </w:rPr>
              <w:t xml:space="preserve"> regions. This diversity ensures variation in implementation intensity, socio-cultural background, and household dynamics, which is essential for comparative qualitative analysis.</w:t>
            </w:r>
          </w:p>
          <w:p w14:paraId="67F9E829">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Within each district, </w:t>
            </w:r>
            <w:r>
              <w:rPr>
                <w:rStyle w:val="15"/>
                <w:rFonts w:hint="default" w:ascii="Times New Roman" w:hAnsi="Times New Roman" w:cs="Times New Roman"/>
                <w:b w:val="0"/>
                <w:bCs w:val="0"/>
                <w:i w:val="0"/>
                <w:iCs w:val="0"/>
                <w:color w:val="auto"/>
                <w:sz w:val="24"/>
                <w:szCs w:val="24"/>
              </w:rPr>
              <w:t>three villages (or urban wards in the case of Bhopal)</w:t>
            </w:r>
            <w:r>
              <w:rPr>
                <w:rFonts w:hint="default" w:ascii="Times New Roman" w:hAnsi="Times New Roman" w:cs="Times New Roman"/>
                <w:b w:val="0"/>
                <w:bCs w:val="0"/>
                <w:i w:val="0"/>
                <w:iCs w:val="0"/>
                <w:color w:val="auto"/>
                <w:sz w:val="24"/>
                <w:szCs w:val="24"/>
              </w:rPr>
              <w:t xml:space="preserve"> will be purposively selected—totaling </w:t>
            </w:r>
            <w:r>
              <w:rPr>
                <w:rStyle w:val="15"/>
                <w:rFonts w:hint="default" w:ascii="Times New Roman" w:hAnsi="Times New Roman" w:cs="Times New Roman"/>
                <w:b w:val="0"/>
                <w:bCs w:val="0"/>
                <w:i w:val="0"/>
                <w:iCs w:val="0"/>
                <w:color w:val="auto"/>
                <w:sz w:val="24"/>
                <w:szCs w:val="24"/>
              </w:rPr>
              <w:t>nine field sites</w:t>
            </w:r>
            <w:r>
              <w:rPr>
                <w:rFonts w:hint="default" w:ascii="Times New Roman" w:hAnsi="Times New Roman" w:cs="Times New Roman"/>
                <w:b w:val="0"/>
                <w:bCs w:val="0"/>
                <w:i w:val="0"/>
                <w:iCs w:val="0"/>
                <w:color w:val="auto"/>
                <w:sz w:val="24"/>
                <w:szCs w:val="24"/>
              </w:rPr>
              <w:t>. The selection will be guided by criteria such as:</w:t>
            </w:r>
          </w:p>
          <w:p w14:paraId="01A95A4B">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Coverage level of Ladli Bahna Yojana (high, medium, low).</w:t>
            </w:r>
          </w:p>
          <w:p w14:paraId="0118AC8C">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Socio-economic composition (income level, caste mix, and educational access).</w:t>
            </w:r>
          </w:p>
          <w:p w14:paraId="23369FB3">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Accessibility and presence of active women’s groups or cultural events.</w:t>
            </w:r>
          </w:p>
          <w:p w14:paraId="5C4A4A3C">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Thus, </w:t>
            </w:r>
            <w:r>
              <w:rPr>
                <w:rStyle w:val="15"/>
                <w:rFonts w:hint="default" w:ascii="Times New Roman" w:hAnsi="Times New Roman" w:cs="Times New Roman"/>
                <w:b w:val="0"/>
                <w:bCs w:val="0"/>
                <w:i w:val="0"/>
                <w:iCs w:val="0"/>
                <w:color w:val="auto"/>
                <w:sz w:val="24"/>
                <w:szCs w:val="24"/>
              </w:rPr>
              <w:t>nine villages/wards</w:t>
            </w:r>
            <w:r>
              <w:rPr>
                <w:rFonts w:hint="default" w:ascii="Times New Roman" w:hAnsi="Times New Roman" w:cs="Times New Roman"/>
                <w:b w:val="0"/>
                <w:bCs w:val="0"/>
                <w:i w:val="0"/>
                <w:iCs w:val="0"/>
                <w:color w:val="auto"/>
                <w:sz w:val="24"/>
                <w:szCs w:val="24"/>
              </w:rPr>
              <w:t xml:space="preserve"> across </w:t>
            </w:r>
            <w:r>
              <w:rPr>
                <w:rStyle w:val="15"/>
                <w:rFonts w:hint="default" w:ascii="Times New Roman" w:hAnsi="Times New Roman" w:cs="Times New Roman"/>
                <w:b w:val="0"/>
                <w:bCs w:val="0"/>
                <w:i w:val="0"/>
                <w:iCs w:val="0"/>
                <w:color w:val="auto"/>
                <w:sz w:val="24"/>
                <w:szCs w:val="24"/>
              </w:rPr>
              <w:t>three districts</w:t>
            </w:r>
            <w:r>
              <w:rPr>
                <w:rFonts w:hint="default" w:ascii="Times New Roman" w:hAnsi="Times New Roman" w:cs="Times New Roman"/>
                <w:b w:val="0"/>
                <w:bCs w:val="0"/>
                <w:i w:val="0"/>
                <w:iCs w:val="0"/>
                <w:color w:val="auto"/>
                <w:sz w:val="24"/>
                <w:szCs w:val="24"/>
              </w:rPr>
              <w:t xml:space="preserve"> will ensure geographical and social diversity, enabling a comprehensive understanding of local variations in program impact.</w:t>
            </w:r>
          </w:p>
          <w:p w14:paraId="43B39CA3">
            <w:pPr>
              <w:pStyle w:val="4"/>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3. Household and Participant Selection – Detailed Procedure</w:t>
            </w:r>
          </w:p>
          <w:p w14:paraId="248E0DDE">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study will use </w:t>
            </w:r>
            <w:r>
              <w:rPr>
                <w:rStyle w:val="15"/>
                <w:rFonts w:hint="default" w:ascii="Times New Roman" w:hAnsi="Times New Roman" w:cs="Times New Roman"/>
                <w:b w:val="0"/>
                <w:bCs w:val="0"/>
                <w:i w:val="0"/>
                <w:iCs w:val="0"/>
                <w:color w:val="auto"/>
                <w:sz w:val="24"/>
                <w:szCs w:val="24"/>
              </w:rPr>
              <w:t>purposive and stratified sampling</w:t>
            </w:r>
            <w:r>
              <w:rPr>
                <w:rFonts w:hint="default" w:ascii="Times New Roman" w:hAnsi="Times New Roman" w:cs="Times New Roman"/>
                <w:b w:val="0"/>
                <w:bCs w:val="0"/>
                <w:i w:val="0"/>
                <w:iCs w:val="0"/>
                <w:color w:val="auto"/>
                <w:sz w:val="24"/>
                <w:szCs w:val="24"/>
              </w:rPr>
              <w:t xml:space="preserve"> to select information-rich cases, complemented by </w:t>
            </w:r>
            <w:r>
              <w:rPr>
                <w:rStyle w:val="15"/>
                <w:rFonts w:hint="default" w:ascii="Times New Roman" w:hAnsi="Times New Roman" w:cs="Times New Roman"/>
                <w:b w:val="0"/>
                <w:bCs w:val="0"/>
                <w:i w:val="0"/>
                <w:iCs w:val="0"/>
                <w:color w:val="auto"/>
                <w:sz w:val="24"/>
                <w:szCs w:val="24"/>
              </w:rPr>
              <w:t>snowball sampling</w:t>
            </w:r>
            <w:r>
              <w:rPr>
                <w:rFonts w:hint="default" w:ascii="Times New Roman" w:hAnsi="Times New Roman" w:cs="Times New Roman"/>
                <w:b w:val="0"/>
                <w:bCs w:val="0"/>
                <w:i w:val="0"/>
                <w:iCs w:val="0"/>
                <w:color w:val="auto"/>
                <w:sz w:val="24"/>
                <w:szCs w:val="24"/>
              </w:rPr>
              <w:t xml:space="preserve"> to reach hidden or less active participants.</w:t>
            </w:r>
          </w:p>
          <w:p w14:paraId="3C224C8E">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Sample Composition</w:t>
            </w:r>
          </w:p>
          <w:p w14:paraId="1A7A8AC5">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Beneficiary women:</w:t>
            </w:r>
            <w:r>
              <w:rPr>
                <w:rFonts w:hint="default" w:ascii="Times New Roman" w:hAnsi="Times New Roman" w:cs="Times New Roman"/>
                <w:b w:val="0"/>
                <w:bCs w:val="0"/>
                <w:i w:val="0"/>
                <w:iCs w:val="0"/>
                <w:color w:val="auto"/>
                <w:sz w:val="24"/>
                <w:szCs w:val="24"/>
              </w:rPr>
              <w:t xml:space="preserve"> 27 participants (3 per site × 9 sites)</w:t>
            </w:r>
          </w:p>
          <w:p w14:paraId="3F8C6C11">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Non-beneficiary women:</w:t>
            </w:r>
            <w:r>
              <w:rPr>
                <w:rFonts w:hint="default" w:ascii="Times New Roman" w:hAnsi="Times New Roman" w:cs="Times New Roman"/>
                <w:b w:val="0"/>
                <w:bCs w:val="0"/>
                <w:i w:val="0"/>
                <w:iCs w:val="0"/>
                <w:color w:val="auto"/>
                <w:sz w:val="24"/>
                <w:szCs w:val="24"/>
              </w:rPr>
              <w:t xml:space="preserve"> 18 participants (2 per site × 9 sites)</w:t>
            </w:r>
          </w:p>
          <w:p w14:paraId="717B897D">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Key informants:</w:t>
            </w:r>
            <w:r>
              <w:rPr>
                <w:rFonts w:hint="default" w:ascii="Times New Roman" w:hAnsi="Times New Roman" w:cs="Times New Roman"/>
                <w:b w:val="0"/>
                <w:bCs w:val="0"/>
                <w:i w:val="0"/>
                <w:iCs w:val="0"/>
                <w:color w:val="auto"/>
                <w:sz w:val="24"/>
                <w:szCs w:val="24"/>
              </w:rPr>
              <w:t xml:space="preserve"> 9–12 (approximately one per site + district-level officials)</w:t>
            </w:r>
            <w:r>
              <w:rPr>
                <w:rFonts w:hint="default" w:ascii="Times New Roman" w:hAnsi="Times New Roman" w:cs="Times New Roman"/>
                <w:b w:val="0"/>
                <w:bCs w:val="0"/>
                <w:i w:val="0"/>
                <w:iCs w:val="0"/>
                <w:color w:val="auto"/>
                <w:sz w:val="24"/>
                <w:szCs w:val="24"/>
              </w:rPr>
              <w:br w:type="textWrapping"/>
            </w:r>
            <w:r>
              <w:rPr>
                <w:rStyle w:val="15"/>
                <w:rFonts w:hint="default" w:ascii="Times New Roman" w:hAnsi="Times New Roman" w:cs="Times New Roman"/>
                <w:b w:val="0"/>
                <w:bCs w:val="0"/>
                <w:i w:val="0"/>
                <w:iCs w:val="0"/>
                <w:color w:val="auto"/>
                <w:sz w:val="24"/>
                <w:szCs w:val="24"/>
              </w:rPr>
              <w:t>Total sample size:</w:t>
            </w:r>
            <w:r>
              <w:rPr>
                <w:rFonts w:hint="default" w:ascii="Times New Roman" w:hAnsi="Times New Roman" w:cs="Times New Roman"/>
                <w:b w:val="0"/>
                <w:bCs w:val="0"/>
                <w:i w:val="0"/>
                <w:iCs w:val="0"/>
                <w:color w:val="auto"/>
                <w:sz w:val="24"/>
                <w:szCs w:val="24"/>
              </w:rPr>
              <w:t xml:space="preserve"> approximately </w:t>
            </w:r>
            <w:r>
              <w:rPr>
                <w:rStyle w:val="15"/>
                <w:rFonts w:hint="default" w:ascii="Times New Roman" w:hAnsi="Times New Roman" w:cs="Times New Roman"/>
                <w:b w:val="0"/>
                <w:bCs w:val="0"/>
                <w:i w:val="0"/>
                <w:iCs w:val="0"/>
                <w:color w:val="auto"/>
                <w:sz w:val="24"/>
                <w:szCs w:val="24"/>
              </w:rPr>
              <w:t>54–57 participants</w:t>
            </w:r>
            <w:r>
              <w:rPr>
                <w:rFonts w:hint="default" w:ascii="Times New Roman" w:hAnsi="Times New Roman" w:cs="Times New Roman"/>
                <w:b w:val="0"/>
                <w:bCs w:val="0"/>
                <w:i w:val="0"/>
                <w:iCs w:val="0"/>
                <w:color w:val="auto"/>
                <w:sz w:val="24"/>
                <w:szCs w:val="24"/>
              </w:rPr>
              <w:t>.</w:t>
            </w:r>
          </w:p>
          <w:p w14:paraId="4880C10E">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This size is sufficient to achieve </w:t>
            </w:r>
            <w:r>
              <w:rPr>
                <w:rStyle w:val="15"/>
                <w:rFonts w:hint="default" w:ascii="Times New Roman" w:hAnsi="Times New Roman" w:cs="Times New Roman"/>
                <w:b w:val="0"/>
                <w:bCs w:val="0"/>
                <w:i w:val="0"/>
                <w:iCs w:val="0"/>
                <w:color w:val="auto"/>
                <w:sz w:val="24"/>
                <w:szCs w:val="24"/>
              </w:rPr>
              <w:t>thematic saturation</w:t>
            </w:r>
            <w:r>
              <w:rPr>
                <w:rFonts w:hint="default" w:ascii="Times New Roman" w:hAnsi="Times New Roman" w:cs="Times New Roman"/>
                <w:b w:val="0"/>
                <w:bCs w:val="0"/>
                <w:i w:val="0"/>
                <w:iCs w:val="0"/>
                <w:color w:val="auto"/>
                <w:sz w:val="24"/>
                <w:szCs w:val="24"/>
              </w:rPr>
              <w:t xml:space="preserve"> and maintain detailed, contextually grounded qualitative analysis.</w:t>
            </w:r>
          </w:p>
          <w:p w14:paraId="444380E7">
            <w:pPr>
              <w:pStyle w:val="5"/>
              <w:keepNext w:val="0"/>
              <w:keepLines w:val="0"/>
              <w:widowControl/>
              <w:suppressLineNumbers w:val="0"/>
              <w:rPr>
                <w:rFonts w:hint="default" w:ascii="Times New Roman" w:hAnsi="Times New Roman" w:cs="Times New Roman"/>
                <w:b w:val="0"/>
                <w:bCs w:val="0"/>
                <w:i w:val="0"/>
                <w:iCs w:val="0"/>
                <w:color w:val="auto"/>
                <w:sz w:val="24"/>
                <w:szCs w:val="24"/>
                <w:lang w:val="en-US"/>
              </w:rPr>
            </w:pPr>
            <w:r>
              <w:rPr>
                <w:rStyle w:val="15"/>
                <w:rFonts w:hint="default" w:ascii="Times New Roman" w:hAnsi="Times New Roman" w:cs="Times New Roman"/>
                <w:b w:val="0"/>
                <w:bCs w:val="0"/>
                <w:i w:val="0"/>
                <w:iCs w:val="0"/>
                <w:color w:val="auto"/>
                <w:sz w:val="24"/>
                <w:szCs w:val="24"/>
              </w:rPr>
              <w:t>Inclusion and Exclusion Criteri</w:t>
            </w:r>
            <w:r>
              <w:rPr>
                <w:rStyle w:val="15"/>
                <w:rFonts w:hint="default" w:ascii="Times New Roman" w:hAnsi="Times New Roman" w:cs="Times New Roman"/>
                <w:b w:val="0"/>
                <w:bCs w:val="0"/>
                <w:i w:val="0"/>
                <w:iCs w:val="0"/>
                <w:color w:val="auto"/>
                <w:sz w:val="24"/>
                <w:szCs w:val="24"/>
                <w:lang w:val="en-US"/>
              </w:rPr>
              <w:t>a</w:t>
            </w:r>
          </w:p>
          <w:p w14:paraId="69F05F59">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Inclusion (Beneficiaries):</w:t>
            </w:r>
            <w:r>
              <w:rPr>
                <w:rFonts w:hint="default" w:ascii="Times New Roman" w:hAnsi="Times New Roman" w:cs="Times New Roman"/>
                <w:b w:val="0"/>
                <w:bCs w:val="0"/>
                <w:i w:val="0"/>
                <w:iCs w:val="0"/>
                <w:color w:val="auto"/>
                <w:sz w:val="24"/>
                <w:szCs w:val="24"/>
              </w:rPr>
              <w:t xml:space="preserve"> Women aged 18–60 years, residing in the community for at least one year, and actively receiving scheme benefits for a minimum of 12 months.</w:t>
            </w:r>
          </w:p>
          <w:p w14:paraId="23B6B8B4">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Inclusion (Non-beneficiaries):</w:t>
            </w:r>
            <w:r>
              <w:rPr>
                <w:rFonts w:hint="default" w:ascii="Times New Roman" w:hAnsi="Times New Roman" w:cs="Times New Roman"/>
                <w:b w:val="0"/>
                <w:bCs w:val="0"/>
                <w:i w:val="0"/>
                <w:iCs w:val="0"/>
                <w:color w:val="auto"/>
                <w:sz w:val="24"/>
                <w:szCs w:val="24"/>
              </w:rPr>
              <w:t xml:space="preserve"> Women of similar socio-economic background and age group not enrolled in the scheme.</w:t>
            </w:r>
          </w:p>
          <w:p w14:paraId="2BA57B58">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Exclusion:</w:t>
            </w:r>
            <w:r>
              <w:rPr>
                <w:rFonts w:hint="default" w:ascii="Times New Roman" w:hAnsi="Times New Roman" w:cs="Times New Roman"/>
                <w:b w:val="0"/>
                <w:bCs w:val="0"/>
                <w:i w:val="0"/>
                <w:iCs w:val="0"/>
                <w:color w:val="auto"/>
                <w:sz w:val="24"/>
                <w:szCs w:val="24"/>
              </w:rPr>
              <w:t xml:space="preserve"> Non-resident women, temporary migrants, or those unable to provide informed consent.</w:t>
            </w:r>
          </w:p>
          <w:p w14:paraId="774CB3CF">
            <w:pPr>
              <w:pStyle w:val="5"/>
              <w:keepNext w:val="0"/>
              <w:keepLines w:val="0"/>
              <w:widowControl/>
              <w:suppressLineNumbers w:val="0"/>
              <w:rPr>
                <w:rFonts w:hint="default" w:ascii="Times New Roman" w:hAnsi="Times New Roman" w:cs="Times New Roman"/>
                <w:b w:val="0"/>
                <w:bCs w:val="0"/>
                <w:i w:val="0"/>
                <w:iCs w:val="0"/>
                <w:color w:val="auto"/>
                <w:sz w:val="24"/>
                <w:szCs w:val="24"/>
                <w:lang w:val="en-US"/>
              </w:rPr>
            </w:pPr>
            <w:r>
              <w:rPr>
                <w:rStyle w:val="15"/>
                <w:rFonts w:hint="default" w:ascii="Times New Roman" w:hAnsi="Times New Roman" w:cs="Times New Roman"/>
                <w:b w:val="0"/>
                <w:bCs w:val="0"/>
                <w:i w:val="0"/>
                <w:iCs w:val="0"/>
                <w:color w:val="auto"/>
                <w:sz w:val="24"/>
                <w:szCs w:val="24"/>
              </w:rPr>
              <w:t>Step-by-Step Participant Selectio</w:t>
            </w:r>
            <w:r>
              <w:rPr>
                <w:rStyle w:val="15"/>
                <w:rFonts w:hint="default" w:ascii="Times New Roman" w:hAnsi="Times New Roman" w:cs="Times New Roman"/>
                <w:b w:val="0"/>
                <w:bCs w:val="0"/>
                <w:i w:val="0"/>
                <w:iCs w:val="0"/>
                <w:color w:val="auto"/>
                <w:sz w:val="24"/>
                <w:szCs w:val="24"/>
                <w:lang w:val="en-US"/>
              </w:rPr>
              <w:t>n</w:t>
            </w:r>
          </w:p>
          <w:p w14:paraId="392C1F1B">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Household Listing:</w:t>
            </w:r>
            <w:r>
              <w:rPr>
                <w:rFonts w:hint="default" w:ascii="Times New Roman" w:hAnsi="Times New Roman" w:cs="Times New Roman"/>
                <w:b w:val="0"/>
                <w:bCs w:val="0"/>
                <w:i w:val="0"/>
                <w:iCs w:val="0"/>
                <w:color w:val="auto"/>
                <w:sz w:val="24"/>
                <w:szCs w:val="24"/>
              </w:rPr>
              <w:t xml:space="preserve"> A list of households will be obtained from the </w:t>
            </w:r>
            <w:r>
              <w:rPr>
                <w:rStyle w:val="13"/>
                <w:rFonts w:hint="default" w:ascii="Times New Roman" w:hAnsi="Times New Roman" w:cs="Times New Roman"/>
                <w:b w:val="0"/>
                <w:bCs w:val="0"/>
                <w:i w:val="0"/>
                <w:iCs w:val="0"/>
                <w:color w:val="auto"/>
                <w:sz w:val="24"/>
                <w:szCs w:val="24"/>
              </w:rPr>
              <w:t>Gram Panchayat</w:t>
            </w:r>
            <w:r>
              <w:rPr>
                <w:rFonts w:hint="default" w:ascii="Times New Roman" w:hAnsi="Times New Roman" w:cs="Times New Roman"/>
                <w:b w:val="0"/>
                <w:bCs w:val="0"/>
                <w:i w:val="0"/>
                <w:iCs w:val="0"/>
                <w:color w:val="auto"/>
                <w:sz w:val="24"/>
                <w:szCs w:val="24"/>
              </w:rPr>
              <w:t xml:space="preserve"> or </w:t>
            </w:r>
            <w:r>
              <w:rPr>
                <w:rStyle w:val="13"/>
                <w:rFonts w:hint="default" w:ascii="Times New Roman" w:hAnsi="Times New Roman" w:cs="Times New Roman"/>
                <w:b w:val="0"/>
                <w:bCs w:val="0"/>
                <w:i w:val="0"/>
                <w:iCs w:val="0"/>
                <w:color w:val="auto"/>
                <w:sz w:val="24"/>
                <w:szCs w:val="24"/>
              </w:rPr>
              <w:t>Anganwadi</w:t>
            </w:r>
            <w:r>
              <w:rPr>
                <w:rFonts w:hint="default" w:ascii="Times New Roman" w:hAnsi="Times New Roman" w:cs="Times New Roman"/>
                <w:b w:val="0"/>
                <w:bCs w:val="0"/>
                <w:i w:val="0"/>
                <w:iCs w:val="0"/>
                <w:color w:val="auto"/>
                <w:sz w:val="24"/>
                <w:szCs w:val="24"/>
              </w:rPr>
              <w:t xml:space="preserve"> records. These will be marked as either beneficiary or non-beneficiary households.</w:t>
            </w:r>
          </w:p>
          <w:p w14:paraId="7E5616C6">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Stratification:</w:t>
            </w:r>
            <w:r>
              <w:rPr>
                <w:rFonts w:hint="default" w:ascii="Times New Roman" w:hAnsi="Times New Roman" w:cs="Times New Roman"/>
                <w:b w:val="0"/>
                <w:bCs w:val="0"/>
                <w:i w:val="0"/>
                <w:iCs w:val="0"/>
                <w:color w:val="auto"/>
                <w:sz w:val="24"/>
                <w:szCs w:val="24"/>
              </w:rPr>
              <w:t xml:space="preserve"> The list will be stratified by age group (18–30, 31–45, 46–60), education level (illiterate, primary, secondary and above), and family type (nuclear/joint).</w:t>
            </w:r>
          </w:p>
          <w:p w14:paraId="43BA213D">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Purposive Selection:</w:t>
            </w:r>
            <w:r>
              <w:rPr>
                <w:rFonts w:hint="default" w:ascii="Times New Roman" w:hAnsi="Times New Roman" w:cs="Times New Roman"/>
                <w:b w:val="0"/>
                <w:bCs w:val="0"/>
                <w:i w:val="0"/>
                <w:iCs w:val="0"/>
                <w:color w:val="auto"/>
                <w:sz w:val="24"/>
                <w:szCs w:val="24"/>
              </w:rPr>
              <w:t xml:space="preserve"> Three beneficiary and two non-beneficiary women will be selected per site ensuring variation across strata.</w:t>
            </w:r>
          </w:p>
          <w:p w14:paraId="439FA0F3">
            <w:pPr>
              <w:pStyle w:val="14"/>
              <w:keepNext w:val="0"/>
              <w:keepLines w:val="0"/>
              <w:widowControl/>
              <w:suppressLineNumbers w:val="0"/>
              <w:ind w:left="72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Snowball Sampling:</w:t>
            </w:r>
            <w:r>
              <w:rPr>
                <w:rFonts w:hint="default" w:ascii="Times New Roman" w:hAnsi="Times New Roman" w:cs="Times New Roman"/>
                <w:b w:val="0"/>
                <w:bCs w:val="0"/>
                <w:i w:val="0"/>
                <w:iCs w:val="0"/>
                <w:color w:val="auto"/>
                <w:sz w:val="24"/>
                <w:szCs w:val="24"/>
              </w:rPr>
              <w:t xml:space="preserve"> Initial participants will be asked to suggest other eligible women who might provide unique perspectives, especially in communities with limited visibility.</w:t>
            </w:r>
          </w:p>
          <w:p w14:paraId="3E2CC026">
            <w:pPr>
              <w:pStyle w:val="14"/>
              <w:keepNext w:val="0"/>
              <w:keepLines w:val="0"/>
              <w:widowControl/>
              <w:suppressLineNumbers w:val="0"/>
              <w:ind w:left="720"/>
              <w:rPr>
                <w:rFonts w:hint="default" w:ascii="Times New Roman" w:hAnsi="Times New Roman" w:cs="Times New Roman"/>
                <w:b w:val="0"/>
                <w:bCs w:val="0"/>
                <w:i w:val="0"/>
                <w:iCs w:val="0"/>
                <w:color w:val="auto"/>
                <w:sz w:val="24"/>
                <w:szCs w:val="24"/>
                <w:lang w:val="en-US"/>
              </w:rPr>
            </w:pPr>
            <w:r>
              <w:rPr>
                <w:rStyle w:val="15"/>
                <w:rFonts w:hint="default" w:ascii="Times New Roman" w:hAnsi="Times New Roman" w:cs="Times New Roman"/>
                <w:b w:val="0"/>
                <w:bCs w:val="0"/>
                <w:i w:val="0"/>
                <w:iCs w:val="0"/>
                <w:color w:val="auto"/>
                <w:sz w:val="24"/>
                <w:szCs w:val="24"/>
              </w:rPr>
              <w:t>Documentation:</w:t>
            </w:r>
            <w:r>
              <w:rPr>
                <w:rFonts w:hint="default" w:ascii="Times New Roman" w:hAnsi="Times New Roman" w:cs="Times New Roman"/>
                <w:b w:val="0"/>
                <w:bCs w:val="0"/>
                <w:i w:val="0"/>
                <w:iCs w:val="0"/>
                <w:color w:val="auto"/>
                <w:sz w:val="24"/>
                <w:szCs w:val="24"/>
              </w:rPr>
              <w:t xml:space="preserve"> All selection steps will be recorded to ensure transparency and replicability</w:t>
            </w:r>
            <w:r>
              <w:rPr>
                <w:rFonts w:hint="default" w:ascii="Times New Roman" w:hAnsi="Times New Roman" w:cs="Times New Roman"/>
                <w:b w:val="0"/>
                <w:bCs w:val="0"/>
                <w:i w:val="0"/>
                <w:iCs w:val="0"/>
                <w:color w:val="auto"/>
                <w:sz w:val="24"/>
                <w:szCs w:val="24"/>
                <w:lang w:val="en-US"/>
              </w:rPr>
              <w:t>.</w:t>
            </w:r>
          </w:p>
          <w:p w14:paraId="70C1A460">
            <w:pPr>
              <w:pStyle w:val="4"/>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4. Key Informants and Other Stakeholders</w:t>
            </w:r>
          </w:p>
          <w:p w14:paraId="6388B54B">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Key informants will include </w:t>
            </w:r>
            <w:r>
              <w:rPr>
                <w:rStyle w:val="15"/>
                <w:rFonts w:hint="default" w:ascii="Times New Roman" w:hAnsi="Times New Roman" w:cs="Times New Roman"/>
                <w:b w:val="0"/>
                <w:bCs w:val="0"/>
                <w:i w:val="0"/>
                <w:iCs w:val="0"/>
                <w:color w:val="auto"/>
                <w:sz w:val="24"/>
                <w:szCs w:val="24"/>
              </w:rPr>
              <w:t>village heads, Anganwadi or ASHA workers, local women’s group leaders, cultural committee members, and district-level administrators.</w:t>
            </w:r>
            <w:r>
              <w:rPr>
                <w:rFonts w:hint="default" w:ascii="Times New Roman" w:hAnsi="Times New Roman" w:cs="Times New Roman"/>
                <w:b w:val="0"/>
                <w:bCs w:val="0"/>
                <w:i w:val="0"/>
                <w:iCs w:val="0"/>
                <w:color w:val="auto"/>
                <w:sz w:val="24"/>
                <w:szCs w:val="24"/>
              </w:rPr>
              <w:t xml:space="preserve"> At least </w:t>
            </w:r>
            <w:r>
              <w:rPr>
                <w:rStyle w:val="15"/>
                <w:rFonts w:hint="default" w:ascii="Times New Roman" w:hAnsi="Times New Roman" w:cs="Times New Roman"/>
                <w:b w:val="0"/>
                <w:bCs w:val="0"/>
                <w:i w:val="0"/>
                <w:iCs w:val="0"/>
                <w:color w:val="auto"/>
                <w:sz w:val="24"/>
                <w:szCs w:val="24"/>
              </w:rPr>
              <w:t>one key informant per site</w:t>
            </w:r>
            <w:r>
              <w:rPr>
                <w:rFonts w:hint="default" w:ascii="Times New Roman" w:hAnsi="Times New Roman" w:cs="Times New Roman"/>
                <w:b w:val="0"/>
                <w:bCs w:val="0"/>
                <w:i w:val="0"/>
                <w:iCs w:val="0"/>
                <w:color w:val="auto"/>
                <w:sz w:val="24"/>
                <w:szCs w:val="24"/>
              </w:rPr>
              <w:t xml:space="preserve"> and additional district officials will be interviewed. Their perspectives will help contextualize women’s experiences within the broader implementation framework and cultural setting.</w:t>
            </w:r>
          </w:p>
          <w:p w14:paraId="3ACF8981">
            <w:pPr>
              <w:pStyle w:val="4"/>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5. Data Collection Methods – Fieldwork Plan</w:t>
            </w:r>
          </w:p>
          <w:p w14:paraId="7ACED6CE">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Fieldwork will be carried out sequentially in </w:t>
            </w:r>
            <w:r>
              <w:rPr>
                <w:rStyle w:val="15"/>
                <w:rFonts w:hint="default" w:ascii="Times New Roman" w:hAnsi="Times New Roman" w:cs="Times New Roman"/>
                <w:b w:val="0"/>
                <w:bCs w:val="0"/>
                <w:i w:val="0"/>
                <w:iCs w:val="0"/>
                <w:color w:val="auto"/>
                <w:sz w:val="24"/>
                <w:szCs w:val="24"/>
              </w:rPr>
              <w:t>Bhopal, Rewa, and Khandwa</w:t>
            </w:r>
            <w:r>
              <w:rPr>
                <w:rFonts w:hint="default" w:ascii="Times New Roman" w:hAnsi="Times New Roman" w:cs="Times New Roman"/>
                <w:b w:val="0"/>
                <w:bCs w:val="0"/>
                <w:i w:val="0"/>
                <w:iCs w:val="0"/>
                <w:color w:val="auto"/>
                <w:sz w:val="24"/>
                <w:szCs w:val="24"/>
              </w:rPr>
              <w:t>, covering three months in total. The procedure includes:</w:t>
            </w:r>
          </w:p>
          <w:p w14:paraId="231B74BE">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Community Entry and Rapport Building:</w:t>
            </w:r>
            <w:r>
              <w:rPr>
                <w:rFonts w:hint="default" w:ascii="Times New Roman" w:hAnsi="Times New Roman" w:cs="Times New Roman"/>
                <w:b w:val="0"/>
                <w:bCs w:val="0"/>
                <w:i w:val="0"/>
                <w:iCs w:val="0"/>
                <w:color w:val="auto"/>
                <w:sz w:val="24"/>
                <w:szCs w:val="24"/>
              </w:rPr>
              <w:t xml:space="preserve"> The researcher will first meet local authorities and community representatives to explain study objectives and seek formal permission</w:t>
            </w:r>
          </w:p>
          <w:p w14:paraId="4B96EA7A">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Recruitment and Consent:</w:t>
            </w:r>
            <w:r>
              <w:rPr>
                <w:rFonts w:hint="default" w:ascii="Times New Roman" w:hAnsi="Times New Roman" w:cs="Times New Roman"/>
                <w:b w:val="0"/>
                <w:bCs w:val="0"/>
                <w:i w:val="0"/>
                <w:iCs w:val="0"/>
                <w:color w:val="auto"/>
                <w:sz w:val="24"/>
                <w:szCs w:val="24"/>
              </w:rPr>
              <w:t xml:space="preserve"> Participants will receive an information sheet in Hindi and give written or thumbprint consent. Confidentiality and voluntary participation will be emphasized.</w:t>
            </w:r>
          </w:p>
          <w:p w14:paraId="78122CB6">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Semi-Structured Interviews:</w:t>
            </w:r>
          </w:p>
          <w:p w14:paraId="0F77E2EE">
            <w:pPr>
              <w:pStyle w:val="14"/>
              <w:keepNext w:val="0"/>
              <w:keepLines w:val="0"/>
              <w:widowControl/>
              <w:numPr>
                <w:ilvl w:val="0"/>
                <w:numId w:val="5"/>
              </w:numPr>
              <w:suppressLineNumbers w:val="0"/>
              <w:ind w:left="420" w:leftChars="0" w:hanging="420" w:firstLineChars="0"/>
              <w:jc w:val="both"/>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Beneficiary interviews (60–90 minutes):</w:t>
            </w:r>
            <w:r>
              <w:rPr>
                <w:rFonts w:hint="default" w:ascii="Times New Roman" w:hAnsi="Times New Roman" w:cs="Times New Roman"/>
                <w:b w:val="0"/>
                <w:bCs w:val="0"/>
                <w:i w:val="0"/>
                <w:iCs w:val="0"/>
                <w:color w:val="auto"/>
                <w:sz w:val="24"/>
                <w:szCs w:val="24"/>
              </w:rPr>
              <w:t xml:space="preserve"> Focused on financial independence, household decision-making, cultural roles, and changes after scheme participation.</w:t>
            </w:r>
          </w:p>
          <w:p w14:paraId="6FB413CC">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Non-beneficiary interviews (45–60 minutes):</w:t>
            </w:r>
            <w:r>
              <w:rPr>
                <w:rFonts w:hint="default" w:ascii="Times New Roman" w:hAnsi="Times New Roman" w:cs="Times New Roman"/>
                <w:b w:val="0"/>
                <w:bCs w:val="0"/>
                <w:i w:val="0"/>
                <w:iCs w:val="0"/>
                <w:color w:val="auto"/>
                <w:sz w:val="24"/>
                <w:szCs w:val="24"/>
              </w:rPr>
              <w:t xml:space="preserve"> Used for comparative insights regarding authority, mobility, and cultural responsibilities.</w:t>
            </w:r>
          </w:p>
          <w:p w14:paraId="74A568BE">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Key informant interviews (45–60 minutes):</w:t>
            </w:r>
            <w:r>
              <w:rPr>
                <w:rFonts w:hint="default" w:ascii="Times New Roman" w:hAnsi="Times New Roman" w:cs="Times New Roman"/>
                <w:b w:val="0"/>
                <w:bCs w:val="0"/>
                <w:i w:val="0"/>
                <w:iCs w:val="0"/>
                <w:color w:val="auto"/>
                <w:sz w:val="24"/>
                <w:szCs w:val="24"/>
              </w:rPr>
              <w:t xml:space="preserve"> Explore policy execution, local perceptions, and gender-cultural linkages.</w:t>
            </w:r>
          </w:p>
          <w:p w14:paraId="653E32DF">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Focus Group Discussions (FGDs):</w:t>
            </w:r>
          </w:p>
          <w:p w14:paraId="01DF715F">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One FGD per site with 6–8 beneficiary women</w:t>
            </w:r>
          </w:p>
          <w:p w14:paraId="2FBEDB5B">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Non-beneficiary or mixed FGDs where feasible.</w:t>
            </w:r>
          </w:p>
          <w:p w14:paraId="581FEE4A">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FGDs will facilitate exploration of collective experiences and community-level patterns.</w:t>
            </w:r>
          </w:p>
          <w:p w14:paraId="2A5B5569">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Document Review and Observation:</w:t>
            </w:r>
            <w:r>
              <w:rPr>
                <w:rFonts w:hint="default" w:ascii="Times New Roman" w:hAnsi="Times New Roman" w:cs="Times New Roman"/>
                <w:b w:val="0"/>
                <w:bCs w:val="0"/>
                <w:i w:val="0"/>
                <w:iCs w:val="0"/>
                <w:color w:val="auto"/>
                <w:sz w:val="24"/>
                <w:szCs w:val="24"/>
              </w:rPr>
              <w:t xml:space="preserve"> Policy documents, program reports, and village-level records will be reviewed. Observations of local cultural events, family rituals, or group meetings will be noted systematically.</w:t>
            </w:r>
          </w:p>
          <w:p w14:paraId="1D55DCB6">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Field Debriefing:</w:t>
            </w:r>
            <w:r>
              <w:rPr>
                <w:rFonts w:hint="default" w:ascii="Times New Roman" w:hAnsi="Times New Roman" w:cs="Times New Roman"/>
                <w:b w:val="0"/>
                <w:bCs w:val="0"/>
                <w:i w:val="0"/>
                <w:iCs w:val="0"/>
                <w:color w:val="auto"/>
                <w:sz w:val="24"/>
                <w:szCs w:val="24"/>
              </w:rPr>
              <w:t xml:space="preserve"> Daily reflections will be recorded in a researcher diary to ensure reflexivity and capture contextual nuances.</w:t>
            </w:r>
          </w:p>
          <w:p w14:paraId="627F8978">
            <w:pPr>
              <w:pStyle w:val="4"/>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6. Data Management and Analysis</w:t>
            </w:r>
          </w:p>
          <w:p w14:paraId="24FF3E1C">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Data will be </w:t>
            </w:r>
            <w:r>
              <w:rPr>
                <w:rStyle w:val="15"/>
                <w:rFonts w:hint="default" w:ascii="Times New Roman" w:hAnsi="Times New Roman" w:cs="Times New Roman"/>
                <w:b w:val="0"/>
                <w:bCs w:val="0"/>
                <w:i w:val="0"/>
                <w:iCs w:val="0"/>
                <w:color w:val="auto"/>
                <w:sz w:val="24"/>
                <w:szCs w:val="24"/>
              </w:rPr>
              <w:t>audio-recorded</w:t>
            </w:r>
            <w:r>
              <w:rPr>
                <w:rFonts w:hint="default" w:ascii="Times New Roman" w:hAnsi="Times New Roman" w:cs="Times New Roman"/>
                <w:b w:val="0"/>
                <w:bCs w:val="0"/>
                <w:i w:val="0"/>
                <w:iCs w:val="0"/>
                <w:color w:val="auto"/>
                <w:sz w:val="24"/>
                <w:szCs w:val="24"/>
              </w:rPr>
              <w:t xml:space="preserve"> (with consent), </w:t>
            </w:r>
            <w:r>
              <w:rPr>
                <w:rStyle w:val="15"/>
                <w:rFonts w:hint="default" w:ascii="Times New Roman" w:hAnsi="Times New Roman" w:cs="Times New Roman"/>
                <w:b w:val="0"/>
                <w:bCs w:val="0"/>
                <w:i w:val="0"/>
                <w:iCs w:val="0"/>
                <w:color w:val="auto"/>
                <w:sz w:val="24"/>
                <w:szCs w:val="24"/>
              </w:rPr>
              <w:t>transcribed verbatim</w:t>
            </w:r>
            <w:r>
              <w:rPr>
                <w:rFonts w:hint="default" w:ascii="Times New Roman" w:hAnsi="Times New Roman" w:cs="Times New Roman"/>
                <w:b w:val="0"/>
                <w:bCs w:val="0"/>
                <w:i w:val="0"/>
                <w:iCs w:val="0"/>
                <w:color w:val="auto"/>
                <w:sz w:val="24"/>
                <w:szCs w:val="24"/>
              </w:rPr>
              <w:t xml:space="preserve">, and </w:t>
            </w:r>
            <w:r>
              <w:rPr>
                <w:rStyle w:val="15"/>
                <w:rFonts w:hint="default" w:ascii="Times New Roman" w:hAnsi="Times New Roman" w:cs="Times New Roman"/>
                <w:b w:val="0"/>
                <w:bCs w:val="0"/>
                <w:i w:val="0"/>
                <w:iCs w:val="0"/>
                <w:color w:val="auto"/>
                <w:sz w:val="24"/>
                <w:szCs w:val="24"/>
              </w:rPr>
              <w:t>translated into English</w:t>
            </w:r>
            <w:r>
              <w:rPr>
                <w:rFonts w:hint="default" w:ascii="Times New Roman" w:hAnsi="Times New Roman" w:cs="Times New Roman"/>
                <w:b w:val="0"/>
                <w:bCs w:val="0"/>
                <w:i w:val="0"/>
                <w:iCs w:val="0"/>
                <w:color w:val="auto"/>
                <w:sz w:val="24"/>
                <w:szCs w:val="24"/>
              </w:rPr>
              <w:t>. Each transcript will be anonymized using an identification code (District_Village_ParticipantType_ID).</w:t>
            </w:r>
          </w:p>
          <w:p w14:paraId="5961FA05">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Data analysis will follow </w:t>
            </w:r>
            <w:r>
              <w:rPr>
                <w:rStyle w:val="15"/>
                <w:rFonts w:hint="default" w:ascii="Times New Roman" w:hAnsi="Times New Roman" w:cs="Times New Roman"/>
                <w:b w:val="0"/>
                <w:bCs w:val="0"/>
                <w:i w:val="0"/>
                <w:iCs w:val="0"/>
                <w:color w:val="auto"/>
                <w:sz w:val="24"/>
                <w:szCs w:val="24"/>
              </w:rPr>
              <w:t>Braun and Clarke’s six-step thematic analysis</w:t>
            </w:r>
            <w:r>
              <w:rPr>
                <w:rFonts w:hint="default" w:ascii="Times New Roman" w:hAnsi="Times New Roman" w:cs="Times New Roman"/>
                <w:b w:val="0"/>
                <w:bCs w:val="0"/>
                <w:i w:val="0"/>
                <w:iCs w:val="0"/>
                <w:color w:val="auto"/>
                <w:sz w:val="24"/>
                <w:szCs w:val="24"/>
              </w:rPr>
              <w:t>:</w:t>
            </w:r>
          </w:p>
          <w:p w14:paraId="76AC0393">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Familiarization with data.</w:t>
            </w:r>
          </w:p>
          <w:p w14:paraId="723F03ED">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Initial coding using both </w:t>
            </w:r>
            <w:r>
              <w:rPr>
                <w:rStyle w:val="15"/>
                <w:rFonts w:hint="default" w:ascii="Times New Roman" w:hAnsi="Times New Roman" w:cs="Times New Roman"/>
                <w:b w:val="0"/>
                <w:bCs w:val="0"/>
                <w:i w:val="0"/>
                <w:iCs w:val="0"/>
                <w:color w:val="auto"/>
                <w:sz w:val="24"/>
                <w:szCs w:val="24"/>
              </w:rPr>
              <w:t>deductive</w:t>
            </w:r>
            <w:r>
              <w:rPr>
                <w:rFonts w:hint="default" w:ascii="Times New Roman" w:hAnsi="Times New Roman" w:cs="Times New Roman"/>
                <w:b w:val="0"/>
                <w:bCs w:val="0"/>
                <w:i w:val="0"/>
                <w:iCs w:val="0"/>
                <w:color w:val="auto"/>
                <w:sz w:val="24"/>
                <w:szCs w:val="24"/>
              </w:rPr>
              <w:t xml:space="preserve"> (based on research questions) and </w:t>
            </w:r>
            <w:r>
              <w:rPr>
                <w:rStyle w:val="15"/>
                <w:rFonts w:hint="default" w:ascii="Times New Roman" w:hAnsi="Times New Roman" w:cs="Times New Roman"/>
                <w:b w:val="0"/>
                <w:bCs w:val="0"/>
                <w:i w:val="0"/>
                <w:iCs w:val="0"/>
                <w:color w:val="auto"/>
                <w:sz w:val="24"/>
                <w:szCs w:val="24"/>
              </w:rPr>
              <w:t>inductive</w:t>
            </w:r>
            <w:r>
              <w:rPr>
                <w:rFonts w:hint="default" w:ascii="Times New Roman" w:hAnsi="Times New Roman" w:cs="Times New Roman"/>
                <w:b w:val="0"/>
                <w:bCs w:val="0"/>
                <w:i w:val="0"/>
                <w:iCs w:val="0"/>
                <w:color w:val="auto"/>
                <w:sz w:val="24"/>
                <w:szCs w:val="24"/>
              </w:rPr>
              <w:t xml:space="preserve"> (emerging from data) codes.</w:t>
            </w:r>
          </w:p>
          <w:p w14:paraId="5BB323EC">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Theme generation and comparison across participant categories.</w:t>
            </w:r>
          </w:p>
          <w:p w14:paraId="5BFAE3F8">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Reviewing and refining themes.</w:t>
            </w:r>
          </w:p>
          <w:p w14:paraId="1079D6BE">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Defining and naming final themes.</w:t>
            </w:r>
          </w:p>
          <w:p w14:paraId="7F1A8446">
            <w:pPr>
              <w:pStyle w:val="14"/>
              <w:keepNext w:val="0"/>
              <w:keepLines w:val="0"/>
              <w:widowControl/>
              <w:numPr>
                <w:ilvl w:val="0"/>
                <w:numId w:val="5"/>
              </w:numPr>
              <w:suppressLineNumbers w:val="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Writing analytic summaries and comparative matrices.</w:t>
            </w:r>
          </w:p>
          <w:p w14:paraId="3F863847">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Comparative analyses will highlight </w:t>
            </w:r>
            <w:r>
              <w:rPr>
                <w:rStyle w:val="15"/>
                <w:rFonts w:hint="default" w:ascii="Times New Roman" w:hAnsi="Times New Roman" w:cs="Times New Roman"/>
                <w:b w:val="0"/>
                <w:bCs w:val="0"/>
                <w:i w:val="0"/>
                <w:iCs w:val="0"/>
                <w:color w:val="auto"/>
                <w:sz w:val="24"/>
                <w:szCs w:val="24"/>
              </w:rPr>
              <w:t>differences between beneficiaries and non-beneficiaries</w:t>
            </w:r>
            <w:r>
              <w:rPr>
                <w:rFonts w:hint="default" w:ascii="Times New Roman" w:hAnsi="Times New Roman" w:cs="Times New Roman"/>
                <w:b w:val="0"/>
                <w:bCs w:val="0"/>
                <w:i w:val="0"/>
                <w:iCs w:val="0"/>
                <w:color w:val="auto"/>
                <w:sz w:val="24"/>
                <w:szCs w:val="24"/>
              </w:rPr>
              <w:t xml:space="preserve"> and across districts (urban Bhopal vs rural Rewa and Khandwa). NVivo software (if available) or manual coding will be used to organize and retrieve coded segments efficiently.</w:t>
            </w:r>
          </w:p>
          <w:p w14:paraId="60D048CA">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Trustworthiness</w:t>
            </w:r>
            <w:r>
              <w:rPr>
                <w:rFonts w:hint="default" w:ascii="Times New Roman" w:hAnsi="Times New Roman" w:cs="Times New Roman"/>
                <w:b w:val="0"/>
                <w:bCs w:val="0"/>
                <w:i w:val="0"/>
                <w:iCs w:val="0"/>
                <w:color w:val="auto"/>
                <w:sz w:val="24"/>
                <w:szCs w:val="24"/>
              </w:rPr>
              <w:t xml:space="preserve"> will be enhanced through triangulation (interviews, FGDs, observations), member checking (sharing summaries with select participants), and maintaining an </w:t>
            </w:r>
            <w:r>
              <w:rPr>
                <w:rStyle w:val="15"/>
                <w:rFonts w:hint="default" w:ascii="Times New Roman" w:hAnsi="Times New Roman" w:cs="Times New Roman"/>
                <w:b w:val="0"/>
                <w:bCs w:val="0"/>
                <w:i w:val="0"/>
                <w:iCs w:val="0"/>
                <w:color w:val="auto"/>
                <w:sz w:val="24"/>
                <w:szCs w:val="24"/>
              </w:rPr>
              <w:t>audit trail</w:t>
            </w:r>
            <w:r>
              <w:rPr>
                <w:rFonts w:hint="default" w:ascii="Times New Roman" w:hAnsi="Times New Roman" w:cs="Times New Roman"/>
                <w:b w:val="0"/>
                <w:bCs w:val="0"/>
                <w:i w:val="0"/>
                <w:iCs w:val="0"/>
                <w:color w:val="auto"/>
                <w:sz w:val="24"/>
                <w:szCs w:val="24"/>
              </w:rPr>
              <w:t xml:space="preserve"> documenting methodological decisions and coding steps.</w:t>
            </w:r>
          </w:p>
          <w:p w14:paraId="1A53BD6A">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Potential challenges </w:t>
            </w:r>
            <w:r>
              <w:rPr>
                <w:rFonts w:hint="default" w:ascii="Times New Roman" w:hAnsi="Times New Roman" w:cs="Times New Roman"/>
                <w:b w:val="0"/>
                <w:bCs w:val="0"/>
                <w:i w:val="0"/>
                <w:iCs w:val="0"/>
                <w:color w:val="auto"/>
                <w:sz w:val="24"/>
                <w:szCs w:val="24"/>
                <w:lang w:val="en-US"/>
              </w:rPr>
              <w:t xml:space="preserve">of this proposed work </w:t>
            </w:r>
            <w:r>
              <w:rPr>
                <w:rFonts w:hint="default" w:ascii="Times New Roman" w:hAnsi="Times New Roman" w:cs="Times New Roman"/>
                <w:b w:val="0"/>
                <w:bCs w:val="0"/>
                <w:i w:val="0"/>
                <w:iCs w:val="0"/>
                <w:color w:val="auto"/>
                <w:sz w:val="24"/>
                <w:szCs w:val="24"/>
              </w:rPr>
              <w:t>include researcher bias, sample recruitment difficulties, and social desirability in participants’ responses. To address these, reflexive journaling and triangulation will minimize bias, purposive recruitment will ensure diversity, and confidential interview settings will encourage honesty, enhancing credibility, trustworthiness, and overall feasibility of the qualitative research process.</w:t>
            </w:r>
          </w:p>
          <w:p w14:paraId="573D3E6C">
            <w:pPr>
              <w:pStyle w:val="14"/>
              <w:keepNext w:val="0"/>
              <w:keepLines w:val="0"/>
              <w:widowControl/>
              <w:suppressLineNumbers w:val="0"/>
              <w:rPr>
                <w:rFonts w:hint="default" w:ascii="Times New Roman" w:hAnsi="Times New Roman" w:cs="Times New Roman"/>
                <w:b w:val="0"/>
                <w:bCs w:val="0"/>
                <w:i w:val="0"/>
                <w:iCs w:val="0"/>
                <w:color w:val="auto"/>
                <w:sz w:val="24"/>
                <w:szCs w:val="24"/>
              </w:rPr>
            </w:pPr>
          </w:p>
          <w:p w14:paraId="1EC81D00">
            <w:pPr>
              <w:pStyle w:val="14"/>
              <w:keepNext w:val="0"/>
              <w:keepLines w:val="0"/>
              <w:widowControl/>
              <w:suppressLineNumbers w:val="0"/>
              <w:rPr>
                <w:rFonts w:hint="default" w:ascii="Times New Roman" w:hAnsi="Times New Roman" w:cs="Times New Roman"/>
                <w:b w:val="0"/>
                <w:bCs w:val="0"/>
                <w:i w:val="0"/>
                <w:iCs w:val="0"/>
                <w:color w:val="auto"/>
                <w:sz w:val="24"/>
                <w:szCs w:val="24"/>
              </w:rPr>
            </w:pPr>
          </w:p>
          <w:p w14:paraId="08F2C7CE">
            <w:pPr>
              <w:rPr>
                <w:rFonts w:hint="default" w:ascii="Times New Roman" w:hAnsi="Times New Roman" w:cs="Times New Roman"/>
                <w:b w:val="0"/>
                <w:bCs w:val="0"/>
                <w:i w:val="0"/>
                <w:iCs w:val="0"/>
                <w:color w:val="auto"/>
                <w:sz w:val="24"/>
                <w:szCs w:val="24"/>
              </w:rPr>
            </w:pPr>
          </w:p>
        </w:tc>
      </w:tr>
      <w:tr w14:paraId="6B5A8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 w:type="dxa"/>
          </w:tcPr>
          <w:p w14:paraId="60F2CB5D">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5D7089F9">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Innovation/path-breaking aspects of the Proposed Research </w:t>
            </w:r>
          </w:p>
          <w:p w14:paraId="4169F178">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(500 words)</w:t>
            </w:r>
          </w:p>
        </w:tc>
        <w:tc>
          <w:tcPr>
            <w:tcW w:w="6311" w:type="dxa"/>
            <w:gridSpan w:val="6"/>
          </w:tcPr>
          <w:p w14:paraId="1A51AFE1">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proposed research on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offers several innovative and path-breaking dimensions that set it apart from existing studies on gender dynamics, women’s empowerment, and cultural preservation. While previous research has largely examined women as cultural custodians (Schneider &amp; Müller, 2023; Chodorow, 1978) or analyzed financial empowerment programs independently (Choudhary &amp; Ray, 2024; Shohel, 2021), few studies integrate these two domains to examine how state-led financial initiatives influence women’s authority in both household and cultural spheres.</w:t>
            </w:r>
          </w:p>
          <w:p w14:paraId="04DF4FCA">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1. Integrative Approach Linking Financial Independence and Cultural Custodianship</w:t>
            </w:r>
          </w:p>
          <w:p w14:paraId="06002632">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 key innovation of this study is its holistic framework that combines economic empowerment, policy interventions, and cultural preservation. Unlike prior research that treats financial independence as a separate economic outcome, this study explores how financial autonomy enables women to exercise authority in household decision-making while actively participating in the preservation and transmission of family culture. By bridging these dimensions, the research addresses a critical gap in understanding the dual role of financial empowerment in reinforcing and reshaping gender norms.</w:t>
            </w:r>
          </w:p>
          <w:p w14:paraId="45C758C5">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2. Comparative Analysis of Beneficiaries and Non-Beneficiaries</w:t>
            </w:r>
          </w:p>
          <w:p w14:paraId="279461B3">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Another path-breaking aspect is the inclusion of a comparative dimension, examining differences between women who participate in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and those who do not. This comparative framework allows the research to isolate the scheme’s impact on women’s empowerment, decision-making authority, and cultural custodianship. By highlighting contrasts in agency, autonomy, and cultural engagement, the study generates evidence of the specific contributions of policy interventions, an approach largely absent in previous evaluations of women’s empowerment programs.</w:t>
            </w:r>
          </w:p>
          <w:p w14:paraId="54B351F0">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3. Context-Specific Exploration of Gender Dynamics</w:t>
            </w:r>
          </w:p>
          <w:p w14:paraId="56D08FAF">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study situates itself within the socio-cultural diversity of Madhya Pradesh, considering caste, regional, and familial variations. This context-sensitive approach recognizes that financial empowerment and cultural authority do not operate in isolation but are mediated by structural and social factors. By accounting for these variations, the study provides nuanced insights that can inform locally tailored, culturally sensitive policy interventions.</w:t>
            </w:r>
          </w:p>
          <w:p w14:paraId="2763B897">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4. Qualitative, Lived-Experience Focus</w:t>
            </w:r>
          </w:p>
          <w:p w14:paraId="086BB7D8">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methodological innovation lies in the qualitative, interpretive approach, which emphasizes semi-structured interviews, focus group discussions, and document analysis. Unlike prior quantitative studies that focus on measurable economic outcomes, this study captures women’s lived experiences, perceptions, and strategies in negotiating cultural expectations while exercising household authority. This human-centered approach enables a deeper understanding of empowerment as a lived, multi-dimensional process.</w:t>
            </w:r>
          </w:p>
          <w:p w14:paraId="01E6A68D">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5. Contribution to Policy and Theory</w:t>
            </w:r>
          </w:p>
          <w:p w14:paraId="028D2453">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research contributes to both theoretical and practical discourses. Theoretically, it bridges feminist theory, cultural sociology, and policy studies, offering a fresh perspective on the interplay between financial independence and cultural custodianship. Practically, the findings provide evidence-based guidance for designing gender-sensitive development programs that simultaneously enhance women’s economic autonomy and support the continuity of family culture.</w:t>
            </w:r>
          </w:p>
          <w:p w14:paraId="7DFB4274">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6. Reframing Women’s Agency in Cultural Preservation</w:t>
            </w:r>
          </w:p>
          <w:p w14:paraId="2FC6C42F">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Finally, the study challenges the traditional view of women as passive transmitters of culture. By examining how financial independence enables women to actively negotiate, reinterpret, and even reshape cultural norms, the research positions women as dynamic agents of both empowerment and cultural sustainability. This perspective shifts the narrative from one of duty-bound custodianship to proactive, empowered engagement with family culture.</w:t>
            </w:r>
          </w:p>
          <w:p w14:paraId="3EBA972C">
            <w:pPr>
              <w:pStyle w:val="14"/>
              <w:keepNext w:val="0"/>
              <w:keepLines w:val="0"/>
              <w:widowControl/>
              <w:suppressLineNumbers w:val="0"/>
              <w:rPr>
                <w:rFonts w:hint="default" w:ascii="Times New Roman" w:hAnsi="Times New Roman" w:cs="Times New Roman"/>
                <w:b w:val="0"/>
                <w:bCs w:val="0"/>
                <w:i w:val="0"/>
                <w:iCs w:val="0"/>
                <w:color w:val="auto"/>
                <w:sz w:val="24"/>
                <w:szCs w:val="24"/>
              </w:rPr>
            </w:pPr>
          </w:p>
          <w:p w14:paraId="18616489">
            <w:pPr>
              <w:rPr>
                <w:rFonts w:hint="default" w:ascii="Times New Roman" w:hAnsi="Times New Roman" w:cs="Times New Roman"/>
                <w:b w:val="0"/>
                <w:bCs w:val="0"/>
                <w:i w:val="0"/>
                <w:iCs w:val="0"/>
                <w:color w:val="auto"/>
                <w:sz w:val="24"/>
                <w:szCs w:val="24"/>
              </w:rPr>
            </w:pPr>
          </w:p>
        </w:tc>
      </w:tr>
      <w:tr w14:paraId="3E8C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9" w:hRule="atLeast"/>
        </w:trPr>
        <w:tc>
          <w:tcPr>
            <w:tcW w:w="953" w:type="dxa"/>
          </w:tcPr>
          <w:p w14:paraId="0B7B5DF8">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5D6AC285">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Expected Contribution of the Research Project to the Knowledge Repository (approx. 500 words)</w:t>
            </w:r>
          </w:p>
        </w:tc>
        <w:tc>
          <w:tcPr>
            <w:tcW w:w="6311" w:type="dxa"/>
            <w:gridSpan w:val="6"/>
          </w:tcPr>
          <w:p w14:paraId="3AD0D5B0">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proposed study on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as a catalyst for strengthening gender roles and enhancing women’s contribution to preserving family culture is expected to make substantial contributions to academic knowledge, policy discourse, and development practices. While prior research has explored women’s roles as cultural custodians (Schneider &amp; Müller, 2023; Chodorow, 1978) and examined the impact of financial empowerment programs (Choudhary &amp; Ray, 2024; Shohel, 2021), few studies have systematically integrated these dimensions to understand the intersection of economic autonomy, household authority, and cultural preservation. This research fills that gap and expands the knowledge repository in multiple ways.</w:t>
            </w:r>
          </w:p>
          <w:p w14:paraId="23E58D6A">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1. Advancing Understanding of Gender Dynamics in Cultural Preservation</w:t>
            </w:r>
          </w:p>
          <w:p w14:paraId="32574694">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study contributes to scholarly understanding of gendered family dynamics by examining how women exercise authority in cultural and household decision-making. By analyzing how financial independence influences women’s ability to preserve and transmit cultural traditions, rituals, and values, the research provides a nuanced perspective on women’s agency beyond conventional caregiving or moral roles. This adds depth to existing feminist and sociological literature on women as cultural custodians, highlighting the complex interplay between empowerment and cultural responsibility.</w:t>
            </w:r>
          </w:p>
          <w:p w14:paraId="2A1618F2">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2. Linking Financial Autonomy with Cultural Custodianship</w:t>
            </w:r>
          </w:p>
          <w:p w14:paraId="27346980">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 unique contribution of this research is its focus on the intersection of financial independence and cultural preservation. While financial empowerment is often studied in isolation, this project demonstrates how economic resources can enhance women’s authority within families and facilitate the active negotiation of cultural practices. This linkage advances theoretical discourse in gender studies, illustrating that financial autonomy is not only an economic phenomenon but also a socio-cultural tool for agency and negotiation of traditional norms.</w:t>
            </w:r>
          </w:p>
          <w:p w14:paraId="0CED9787">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3. Comparative Insights Between Beneficiaries and Non-Beneficiaries</w:t>
            </w:r>
          </w:p>
          <w:p w14:paraId="29A3BA82">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By comparing women who participate in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with those who do not, the study provides evidence on the differential impacts of state-led financial interventions. This comparative perspective highlights how targeted policies can reshape gender roles, decision-making patterns, and cultural responsibilities. Such insights are valuable for both academia and policymakers, as they offer empirical support for designing interventions that promote gender equality while respecting cultural continuity.</w:t>
            </w:r>
          </w:p>
          <w:p w14:paraId="52F28C64">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4. Context-Specific and Policy-Relevant Contributions</w:t>
            </w:r>
          </w:p>
          <w:p w14:paraId="01BA6082">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research situates its analysis within the socio-cultural context of Madhya Pradesh, considering caste, regional, and familial variations. This localized approach ensures that findings are contextually grounded and relevant for policy formulation. Insights from this study can inform the design of gender-sensitive and culturally informed development programs that empower women while sustaining family and community traditions.</w:t>
            </w:r>
          </w:p>
          <w:p w14:paraId="422227D6">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5. Methodological Contributions</w:t>
            </w:r>
          </w:p>
          <w:p w14:paraId="2FCECD61">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Methodologically, the study contributes to qualitative research in development studies by combining semi-structured interviews, focus group discussions, and document analysis. The focus on women’s lived experiences provides a human-centered understanding of empowerment and cultural engagement, offering a model for future research on policy impacts and gendered socio-cultural dynamics.</w:t>
            </w:r>
          </w:p>
          <w:p w14:paraId="0F2DA0C1">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6. Bridging Theory and Practice</w:t>
            </w:r>
          </w:p>
          <w:p w14:paraId="29D68BBD">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Finally, the study contributes to both theory and practice by bridging feminist theory, cultural sociology, and policy studies. It challenges conventional narratives of women as passive cultural transmitters, presenting them instead as active agents who negotiate, reinterpret, and shape cultural practices while exercising economic and household authority. This theoretical advancement has practical implications for designing interventions that simultaneously promote empowerment, gender equity, and cultural sustainability.</w:t>
            </w:r>
          </w:p>
          <w:p w14:paraId="0B93E93B">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In summary, the research enriches the knowledge repository by providing a multi-dimensional understanding of how financial empowerment programs like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influence gender dynamics, family culture, and women’s agency. It generates empirical evidence, offers theoretical insights, and informs policy design, thereby contributing to scholarship, development practice, and the broader discourse on gender and culture in India.</w:t>
            </w:r>
          </w:p>
          <w:p w14:paraId="63B55509">
            <w:pPr>
              <w:rPr>
                <w:rFonts w:hint="default" w:ascii="Times New Roman" w:hAnsi="Times New Roman" w:cs="Times New Roman"/>
                <w:b w:val="0"/>
                <w:bCs w:val="0"/>
                <w:i w:val="0"/>
                <w:iCs w:val="0"/>
                <w:color w:val="auto"/>
                <w:sz w:val="24"/>
                <w:szCs w:val="24"/>
              </w:rPr>
            </w:pPr>
          </w:p>
        </w:tc>
      </w:tr>
      <w:tr w14:paraId="2C99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 w:type="dxa"/>
          </w:tcPr>
          <w:p w14:paraId="222542BB">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0A7DB97B">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Expected Output (400 words)</w:t>
            </w:r>
          </w:p>
        </w:tc>
        <w:tc>
          <w:tcPr>
            <w:tcW w:w="6311" w:type="dxa"/>
            <w:gridSpan w:val="6"/>
          </w:tcPr>
          <w:p w14:paraId="49E808E1">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proposed study on </w:t>
            </w:r>
            <w:r>
              <w:rPr>
                <w:rStyle w:val="13"/>
                <w:rFonts w:hint="default" w:ascii="Times New Roman" w:hAnsi="Times New Roman" w:cs="Times New Roman"/>
                <w:b w:val="0"/>
                <w:bCs w:val="0"/>
                <w:i w:val="0"/>
                <w:iCs w:val="0"/>
                <w:color w:val="auto"/>
                <w:sz w:val="24"/>
                <w:szCs w:val="24"/>
              </w:rPr>
              <w:t>Ladli Bahna Yojana (LBY)</w:t>
            </w:r>
            <w:r>
              <w:rPr>
                <w:rFonts w:hint="default" w:ascii="Times New Roman" w:hAnsi="Times New Roman" w:cs="Times New Roman"/>
                <w:b w:val="0"/>
                <w:bCs w:val="0"/>
                <w:i w:val="0"/>
                <w:iCs w:val="0"/>
                <w:color w:val="auto"/>
                <w:sz w:val="24"/>
                <w:szCs w:val="24"/>
              </w:rPr>
              <w:t xml:space="preserve"> will generate tangible and intangible outputs that contribute to academic research, policy-making, and community development. By exploring the intersection of </w:t>
            </w:r>
            <w:r>
              <w:rPr>
                <w:rStyle w:val="15"/>
                <w:rFonts w:hint="default" w:ascii="Times New Roman" w:hAnsi="Times New Roman" w:cs="Times New Roman"/>
                <w:b w:val="0"/>
                <w:bCs w:val="0"/>
                <w:i w:val="0"/>
                <w:iCs w:val="0"/>
                <w:color w:val="auto"/>
                <w:sz w:val="24"/>
                <w:szCs w:val="24"/>
              </w:rPr>
              <w:t>financial independence, gender dynamics, and cultural preservation</w:t>
            </w:r>
            <w:r>
              <w:rPr>
                <w:rFonts w:hint="default" w:ascii="Times New Roman" w:hAnsi="Times New Roman" w:cs="Times New Roman"/>
                <w:b w:val="0"/>
                <w:bCs w:val="0"/>
                <w:i w:val="0"/>
                <w:iCs w:val="0"/>
                <w:color w:val="auto"/>
                <w:sz w:val="24"/>
                <w:szCs w:val="24"/>
              </w:rPr>
              <w:t>, the research provides a comprehensive and evidence-based understanding of how state-led empowerment programs shape women’s household authority and their role in sustaining family culture.</w:t>
            </w:r>
          </w:p>
          <w:p w14:paraId="5810AF17">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1. Empirical Insights on Women’s Financial Autonomy and Household Authority</w:t>
            </w:r>
          </w:p>
          <w:p w14:paraId="194B689C">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study will produce </w:t>
            </w:r>
            <w:r>
              <w:rPr>
                <w:rStyle w:val="15"/>
                <w:rFonts w:hint="default" w:ascii="Times New Roman" w:hAnsi="Times New Roman" w:cs="Times New Roman"/>
                <w:b w:val="0"/>
                <w:bCs w:val="0"/>
                <w:i w:val="0"/>
                <w:iCs w:val="0"/>
                <w:color w:val="auto"/>
                <w:sz w:val="24"/>
                <w:szCs w:val="24"/>
              </w:rPr>
              <w:t>an evidence-based typology of shifts in intra-household decision-making</w:t>
            </w:r>
            <w:r>
              <w:rPr>
                <w:rFonts w:hint="default" w:ascii="Times New Roman" w:hAnsi="Times New Roman" w:cs="Times New Roman"/>
                <w:b w:val="0"/>
                <w:bCs w:val="0"/>
                <w:i w:val="0"/>
                <w:iCs w:val="0"/>
                <w:color w:val="auto"/>
                <w:sz w:val="24"/>
                <w:szCs w:val="24"/>
              </w:rPr>
              <w:t xml:space="preserve">, identifying at least </w:t>
            </w:r>
            <w:r>
              <w:rPr>
                <w:rStyle w:val="15"/>
                <w:rFonts w:hint="default" w:ascii="Times New Roman" w:hAnsi="Times New Roman" w:cs="Times New Roman"/>
                <w:b w:val="0"/>
                <w:bCs w:val="0"/>
                <w:i w:val="0"/>
                <w:iCs w:val="0"/>
                <w:color w:val="auto"/>
                <w:sz w:val="24"/>
                <w:szCs w:val="24"/>
              </w:rPr>
              <w:t>three distinct patterns</w:t>
            </w:r>
            <w:r>
              <w:rPr>
                <w:rFonts w:hint="default" w:ascii="Times New Roman" w:hAnsi="Times New Roman" w:cs="Times New Roman"/>
                <w:b w:val="0"/>
                <w:bCs w:val="0"/>
                <w:i w:val="0"/>
                <w:iCs w:val="0"/>
                <w:color w:val="auto"/>
                <w:sz w:val="24"/>
                <w:szCs w:val="24"/>
              </w:rPr>
              <w:t xml:space="preserve"> through which LBY beneficiaries exercise new or enhanced authority in areas such as </w:t>
            </w:r>
            <w:r>
              <w:rPr>
                <w:rStyle w:val="15"/>
                <w:rFonts w:hint="default" w:ascii="Times New Roman" w:hAnsi="Times New Roman" w:cs="Times New Roman"/>
                <w:b w:val="0"/>
                <w:bCs w:val="0"/>
                <w:i w:val="0"/>
                <w:iCs w:val="0"/>
                <w:color w:val="auto"/>
                <w:sz w:val="24"/>
                <w:szCs w:val="24"/>
              </w:rPr>
              <w:t>children’s education, healthcare decisions, and the organization of family rituals</w:t>
            </w:r>
            <w:r>
              <w:rPr>
                <w:rFonts w:hint="default" w:ascii="Times New Roman" w:hAnsi="Times New Roman" w:cs="Times New Roman"/>
                <w:b w:val="0"/>
                <w:bCs w:val="0"/>
                <w:i w:val="0"/>
                <w:iCs w:val="0"/>
                <w:color w:val="auto"/>
                <w:sz w:val="24"/>
                <w:szCs w:val="24"/>
              </w:rPr>
              <w:t>. By systematically comparing beneficiaries and non-beneficiaries, the study will quantify differences in decision-making autonomy and explore how financial independence influences women’s roles as active contributors to family well-being and cultural continuity.</w:t>
            </w:r>
          </w:p>
          <w:p w14:paraId="2B3B7FA5">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2. Understanding Women as Cultural Custodians in Modern Contexts</w:t>
            </w:r>
          </w:p>
          <w:p w14:paraId="530C7B98">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study will document </w:t>
            </w:r>
            <w:r>
              <w:rPr>
                <w:rStyle w:val="15"/>
                <w:rFonts w:hint="default" w:ascii="Times New Roman" w:hAnsi="Times New Roman" w:cs="Times New Roman"/>
                <w:b w:val="0"/>
                <w:bCs w:val="0"/>
                <w:i w:val="0"/>
                <w:iCs w:val="0"/>
                <w:color w:val="auto"/>
                <w:sz w:val="24"/>
                <w:szCs w:val="24"/>
              </w:rPr>
              <w:t>five to six strategies</w:t>
            </w:r>
            <w:r>
              <w:rPr>
                <w:rFonts w:hint="default" w:ascii="Times New Roman" w:hAnsi="Times New Roman" w:cs="Times New Roman"/>
                <w:b w:val="0"/>
                <w:bCs w:val="0"/>
                <w:i w:val="0"/>
                <w:iCs w:val="0"/>
                <w:color w:val="auto"/>
                <w:sz w:val="24"/>
                <w:szCs w:val="24"/>
              </w:rPr>
              <w:t xml:space="preserve"> that women adopt to preserve, reinterpret, or modernize cultural traditions in changing socio-economic conditions. These findings will advance theoretical understanding of women as </w:t>
            </w:r>
            <w:r>
              <w:rPr>
                <w:rStyle w:val="15"/>
                <w:rFonts w:hint="default" w:ascii="Times New Roman" w:hAnsi="Times New Roman" w:cs="Times New Roman"/>
                <w:b w:val="0"/>
                <w:bCs w:val="0"/>
                <w:i w:val="0"/>
                <w:iCs w:val="0"/>
                <w:color w:val="auto"/>
                <w:sz w:val="24"/>
                <w:szCs w:val="24"/>
              </w:rPr>
              <w:t>cultural negotiators</w:t>
            </w:r>
            <w:r>
              <w:rPr>
                <w:rFonts w:hint="default" w:ascii="Times New Roman" w:hAnsi="Times New Roman" w:cs="Times New Roman"/>
                <w:b w:val="0"/>
                <w:bCs w:val="0"/>
                <w:i w:val="0"/>
                <w:iCs w:val="0"/>
                <w:color w:val="auto"/>
                <w:sz w:val="24"/>
                <w:szCs w:val="24"/>
              </w:rPr>
              <w:t>, demonstrating how empowerment transforms their position from passive transmitters of culture to dynamic agents balancing autonomy and tradition within contemporary Madhya Pradesh communities.</w:t>
            </w:r>
          </w:p>
          <w:p w14:paraId="420F0D0E">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3. Policy-Relevant Recommendations</w:t>
            </w:r>
          </w:p>
          <w:p w14:paraId="31F0690C">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By identifying the mechanisms linking financial empowerment with cultural preservation, the project will deliver </w:t>
            </w:r>
            <w:r>
              <w:rPr>
                <w:rStyle w:val="15"/>
                <w:rFonts w:hint="default" w:ascii="Times New Roman" w:hAnsi="Times New Roman" w:cs="Times New Roman"/>
                <w:b w:val="0"/>
                <w:bCs w:val="0"/>
                <w:i w:val="0"/>
                <w:iCs w:val="0"/>
                <w:color w:val="auto"/>
                <w:sz w:val="24"/>
                <w:szCs w:val="24"/>
              </w:rPr>
              <w:t>a 4-page policy brief</w:t>
            </w:r>
            <w:r>
              <w:rPr>
                <w:rFonts w:hint="default" w:ascii="Times New Roman" w:hAnsi="Times New Roman" w:cs="Times New Roman"/>
                <w:b w:val="0"/>
                <w:bCs w:val="0"/>
                <w:i w:val="0"/>
                <w:iCs w:val="0"/>
                <w:color w:val="auto"/>
                <w:sz w:val="24"/>
                <w:szCs w:val="24"/>
              </w:rPr>
              <w:t xml:space="preserve"> containing actionable, evidence-based recommendations. This brief will be </w:t>
            </w:r>
            <w:r>
              <w:rPr>
                <w:rStyle w:val="15"/>
                <w:rFonts w:hint="default" w:ascii="Times New Roman" w:hAnsi="Times New Roman" w:cs="Times New Roman"/>
                <w:b w:val="0"/>
                <w:bCs w:val="0"/>
                <w:i w:val="0"/>
                <w:iCs w:val="0"/>
                <w:color w:val="auto"/>
                <w:sz w:val="24"/>
                <w:szCs w:val="24"/>
              </w:rPr>
              <w:t>disseminated through a workshop</w:t>
            </w:r>
            <w:r>
              <w:rPr>
                <w:rFonts w:hint="default" w:ascii="Times New Roman" w:hAnsi="Times New Roman" w:cs="Times New Roman"/>
                <w:b w:val="0"/>
                <w:bCs w:val="0"/>
                <w:i w:val="0"/>
                <w:iCs w:val="0"/>
                <w:color w:val="auto"/>
                <w:sz w:val="24"/>
                <w:szCs w:val="24"/>
              </w:rPr>
              <w:t xml:space="preserve"> with officials from the </w:t>
            </w:r>
            <w:r>
              <w:rPr>
                <w:rStyle w:val="15"/>
                <w:rFonts w:hint="default" w:ascii="Times New Roman" w:hAnsi="Times New Roman" w:cs="Times New Roman"/>
                <w:b w:val="0"/>
                <w:bCs w:val="0"/>
                <w:i w:val="0"/>
                <w:iCs w:val="0"/>
                <w:color w:val="auto"/>
                <w:sz w:val="24"/>
                <w:szCs w:val="24"/>
              </w:rPr>
              <w:t>Madhya Pradesh Department of Women and Child Development</w:t>
            </w:r>
            <w:r>
              <w:rPr>
                <w:rFonts w:hint="default" w:ascii="Times New Roman" w:hAnsi="Times New Roman" w:cs="Times New Roman"/>
                <w:b w:val="0"/>
                <w:bCs w:val="0"/>
                <w:i w:val="0"/>
                <w:iCs w:val="0"/>
                <w:color w:val="auto"/>
                <w:sz w:val="24"/>
                <w:szCs w:val="24"/>
              </w:rPr>
              <w:t xml:space="preserve"> and </w:t>
            </w:r>
            <w:r>
              <w:rPr>
                <w:rStyle w:val="15"/>
                <w:rFonts w:hint="default" w:ascii="Times New Roman" w:hAnsi="Times New Roman" w:cs="Times New Roman"/>
                <w:b w:val="0"/>
                <w:bCs w:val="0"/>
                <w:i w:val="0"/>
                <w:iCs w:val="0"/>
                <w:color w:val="auto"/>
                <w:sz w:val="24"/>
                <w:szCs w:val="24"/>
              </w:rPr>
              <w:t>presentations at NGO forums</w:t>
            </w:r>
            <w:r>
              <w:rPr>
                <w:rFonts w:hint="default" w:ascii="Times New Roman" w:hAnsi="Times New Roman" w:cs="Times New Roman"/>
                <w:b w:val="0"/>
                <w:bCs w:val="0"/>
                <w:i w:val="0"/>
                <w:iCs w:val="0"/>
                <w:color w:val="auto"/>
                <w:sz w:val="24"/>
                <w:szCs w:val="24"/>
              </w:rPr>
              <w:t>, facilitating dialogue on gender-sensitive welfare design and sustainable community development.</w:t>
            </w:r>
          </w:p>
          <w:p w14:paraId="70BD08BB">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4. Methodological and Academic Contributions</w:t>
            </w:r>
          </w:p>
          <w:p w14:paraId="24E5185F">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project will produce a </w:t>
            </w:r>
            <w:r>
              <w:rPr>
                <w:rStyle w:val="15"/>
                <w:rFonts w:hint="default" w:ascii="Times New Roman" w:hAnsi="Times New Roman" w:cs="Times New Roman"/>
                <w:b w:val="0"/>
                <w:bCs w:val="0"/>
                <w:i w:val="0"/>
                <w:iCs w:val="0"/>
                <w:color w:val="auto"/>
                <w:sz w:val="24"/>
                <w:szCs w:val="24"/>
              </w:rPr>
              <w:t>robust, context-sensitive qualitative dataset</w:t>
            </w:r>
            <w:r>
              <w:rPr>
                <w:rFonts w:hint="default" w:ascii="Times New Roman" w:hAnsi="Times New Roman" w:cs="Times New Roman"/>
                <w:b w:val="0"/>
                <w:bCs w:val="0"/>
                <w:i w:val="0"/>
                <w:iCs w:val="0"/>
                <w:color w:val="auto"/>
                <w:sz w:val="24"/>
                <w:szCs w:val="24"/>
              </w:rPr>
              <w:t xml:space="preserve"> on the socio-cultural impacts of direct benefit transfers, covering districts such as </w:t>
            </w:r>
            <w:r>
              <w:rPr>
                <w:rStyle w:val="15"/>
                <w:rFonts w:hint="default" w:ascii="Times New Roman" w:hAnsi="Times New Roman" w:cs="Times New Roman"/>
                <w:b w:val="0"/>
                <w:bCs w:val="0"/>
                <w:i w:val="0"/>
                <w:iCs w:val="0"/>
                <w:color w:val="auto"/>
                <w:sz w:val="24"/>
                <w:szCs w:val="24"/>
              </w:rPr>
              <w:t>Bhopal, Rewa, and Khandwa</w:t>
            </w:r>
            <w:r>
              <w:rPr>
                <w:rFonts w:hint="default" w:ascii="Times New Roman" w:hAnsi="Times New Roman" w:cs="Times New Roman"/>
                <w:b w:val="0"/>
                <w:bCs w:val="0"/>
                <w:i w:val="0"/>
                <w:iCs w:val="0"/>
                <w:color w:val="auto"/>
                <w:sz w:val="24"/>
                <w:szCs w:val="24"/>
              </w:rPr>
              <w:t xml:space="preserve">. The anonymized dataset will be made available for </w:t>
            </w:r>
            <w:r>
              <w:rPr>
                <w:rStyle w:val="15"/>
                <w:rFonts w:hint="default" w:ascii="Times New Roman" w:hAnsi="Times New Roman" w:cs="Times New Roman"/>
                <w:b w:val="0"/>
                <w:bCs w:val="0"/>
                <w:i w:val="0"/>
                <w:iCs w:val="0"/>
                <w:color w:val="auto"/>
                <w:sz w:val="24"/>
                <w:szCs w:val="24"/>
              </w:rPr>
              <w:t>secondary academic analysis</w:t>
            </w:r>
            <w:r>
              <w:rPr>
                <w:rFonts w:hint="default" w:ascii="Times New Roman" w:hAnsi="Times New Roman" w:cs="Times New Roman"/>
                <w:b w:val="0"/>
                <w:bCs w:val="0"/>
                <w:i w:val="0"/>
                <w:iCs w:val="0"/>
                <w:color w:val="auto"/>
                <w:sz w:val="24"/>
                <w:szCs w:val="24"/>
              </w:rPr>
              <w:t xml:space="preserve">, ensuring transparency and scholarly utility. The study will also yield </w:t>
            </w:r>
            <w:r>
              <w:rPr>
                <w:rStyle w:val="15"/>
                <w:rFonts w:hint="default" w:ascii="Times New Roman" w:hAnsi="Times New Roman" w:cs="Times New Roman"/>
                <w:b w:val="0"/>
                <w:bCs w:val="0"/>
                <w:i w:val="0"/>
                <w:iCs w:val="0"/>
                <w:color w:val="auto"/>
                <w:sz w:val="24"/>
                <w:szCs w:val="24"/>
              </w:rPr>
              <w:t>two peer-reviewed journal articles</w:t>
            </w:r>
            <w:r>
              <w:rPr>
                <w:rFonts w:hint="default" w:ascii="Times New Roman" w:hAnsi="Times New Roman" w:cs="Times New Roman"/>
                <w:b w:val="0"/>
                <w:bCs w:val="0"/>
                <w:i w:val="0"/>
                <w:iCs w:val="0"/>
                <w:color w:val="auto"/>
                <w:sz w:val="24"/>
                <w:szCs w:val="24"/>
              </w:rPr>
              <w:t xml:space="preserve">, </w:t>
            </w:r>
            <w:r>
              <w:rPr>
                <w:rStyle w:val="15"/>
                <w:rFonts w:hint="default" w:ascii="Times New Roman" w:hAnsi="Times New Roman" w:cs="Times New Roman"/>
                <w:b w:val="0"/>
                <w:bCs w:val="0"/>
                <w:i w:val="0"/>
                <w:iCs w:val="0"/>
                <w:color w:val="auto"/>
                <w:sz w:val="24"/>
                <w:szCs w:val="24"/>
              </w:rPr>
              <w:t>one national conference paper</w:t>
            </w:r>
            <w:r>
              <w:rPr>
                <w:rFonts w:hint="default" w:ascii="Times New Roman" w:hAnsi="Times New Roman" w:cs="Times New Roman"/>
                <w:b w:val="0"/>
                <w:bCs w:val="0"/>
                <w:i w:val="0"/>
                <w:iCs w:val="0"/>
                <w:color w:val="auto"/>
                <w:sz w:val="24"/>
                <w:szCs w:val="24"/>
              </w:rPr>
              <w:t xml:space="preserve">, and </w:t>
            </w:r>
            <w:r>
              <w:rPr>
                <w:rStyle w:val="15"/>
                <w:rFonts w:hint="default" w:ascii="Times New Roman" w:hAnsi="Times New Roman" w:cs="Times New Roman"/>
                <w:b w:val="0"/>
                <w:bCs w:val="0"/>
                <w:i w:val="0"/>
                <w:iCs w:val="0"/>
                <w:color w:val="auto"/>
                <w:sz w:val="24"/>
                <w:szCs w:val="24"/>
              </w:rPr>
              <w:t>a comprehensive final report</w:t>
            </w:r>
            <w:r>
              <w:rPr>
                <w:rFonts w:hint="default" w:ascii="Times New Roman" w:hAnsi="Times New Roman" w:cs="Times New Roman"/>
                <w:b w:val="0"/>
                <w:bCs w:val="0"/>
                <w:i w:val="0"/>
                <w:iCs w:val="0"/>
                <w:color w:val="auto"/>
                <w:sz w:val="24"/>
                <w:szCs w:val="24"/>
              </w:rPr>
              <w:t xml:space="preserve"> documenting methodological rigor and analytic procedures.</w:t>
            </w:r>
          </w:p>
          <w:p w14:paraId="1907BAF4">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5. Societal Awareness and Engagement</w:t>
            </w:r>
          </w:p>
          <w:p w14:paraId="1E21F8E1">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Through </w:t>
            </w:r>
            <w:r>
              <w:rPr>
                <w:rStyle w:val="15"/>
                <w:rFonts w:hint="default" w:ascii="Times New Roman" w:hAnsi="Times New Roman" w:cs="Times New Roman"/>
                <w:b w:val="0"/>
                <w:bCs w:val="0"/>
                <w:i w:val="0"/>
                <w:iCs w:val="0"/>
                <w:color w:val="auto"/>
                <w:sz w:val="24"/>
                <w:szCs w:val="24"/>
              </w:rPr>
              <w:t>two dissemination workshops</w:t>
            </w:r>
            <w:r>
              <w:rPr>
                <w:rFonts w:hint="default" w:ascii="Times New Roman" w:hAnsi="Times New Roman" w:cs="Times New Roman"/>
                <w:b w:val="0"/>
                <w:bCs w:val="0"/>
                <w:i w:val="0"/>
                <w:iCs w:val="0"/>
                <w:color w:val="auto"/>
                <w:sz w:val="24"/>
                <w:szCs w:val="24"/>
              </w:rPr>
              <w:t xml:space="preserve">—one academic and one community-based—the research will enhance awareness of how economic empowerment intersects with cultural sustainability. The study’s outcomes will encourage policymakers and practitioners to integrate socio-cultural perspectives into economic development initiatives, promoting </w:t>
            </w:r>
            <w:r>
              <w:rPr>
                <w:rStyle w:val="15"/>
                <w:rFonts w:hint="default" w:ascii="Times New Roman" w:hAnsi="Times New Roman" w:cs="Times New Roman"/>
                <w:b w:val="0"/>
                <w:bCs w:val="0"/>
                <w:i w:val="0"/>
                <w:iCs w:val="0"/>
                <w:color w:val="auto"/>
                <w:sz w:val="24"/>
                <w:szCs w:val="24"/>
              </w:rPr>
              <w:t>inclusive, culturally grounded empowerment</w:t>
            </w:r>
            <w:r>
              <w:rPr>
                <w:rFonts w:hint="default" w:ascii="Times New Roman" w:hAnsi="Times New Roman" w:cs="Times New Roman"/>
                <w:b w:val="0"/>
                <w:bCs w:val="0"/>
                <w:i w:val="0"/>
                <w:iCs w:val="0"/>
                <w:color w:val="auto"/>
                <w:sz w:val="24"/>
                <w:szCs w:val="24"/>
              </w:rPr>
              <w:t xml:space="preserve"> across Madhya Pradesh</w:t>
            </w:r>
          </w:p>
          <w:p w14:paraId="14416A58">
            <w:pPr>
              <w:rPr>
                <w:rFonts w:hint="default" w:ascii="Times New Roman" w:hAnsi="Times New Roman" w:cs="Times New Roman"/>
                <w:b w:val="0"/>
                <w:bCs w:val="0"/>
                <w:i w:val="0"/>
                <w:iCs w:val="0"/>
                <w:color w:val="auto"/>
                <w:sz w:val="24"/>
                <w:szCs w:val="24"/>
              </w:rPr>
            </w:pPr>
          </w:p>
        </w:tc>
      </w:tr>
      <w:tr w14:paraId="7815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trPr>
        <w:tc>
          <w:tcPr>
            <w:tcW w:w="953" w:type="dxa"/>
          </w:tcPr>
          <w:p w14:paraId="461302CA">
            <w:pPr>
              <w:pStyle w:val="32"/>
              <w:numPr>
                <w:ilvl w:val="0"/>
                <w:numId w:val="1"/>
              </w:numPr>
              <w:spacing w:after="0" w:line="240" w:lineRule="auto"/>
              <w:rPr>
                <w:rFonts w:hint="default" w:ascii="Times New Roman" w:hAnsi="Times New Roman" w:cs="Times New Roman"/>
                <w:b w:val="0"/>
                <w:bCs w:val="0"/>
                <w:i w:val="0"/>
                <w:iCs w:val="0"/>
                <w:color w:val="auto"/>
                <w:sz w:val="24"/>
                <w:szCs w:val="24"/>
              </w:rPr>
            </w:pPr>
          </w:p>
        </w:tc>
        <w:tc>
          <w:tcPr>
            <w:tcW w:w="3510" w:type="dxa"/>
          </w:tcPr>
          <w:p w14:paraId="625EE715">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Relevance of the proposed study for policy making (approx. 500 words)</w:t>
            </w:r>
          </w:p>
        </w:tc>
        <w:tc>
          <w:tcPr>
            <w:tcW w:w="6311" w:type="dxa"/>
            <w:gridSpan w:val="6"/>
          </w:tcPr>
          <w:p w14:paraId="1CFD7F6A">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proposed study on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holds significant relevance for policy-making in India, particularly in areas related to gender equality, women’s empowerment, and cultural preservation. While government initiatives have increasingly aimed at promoting financial autonomy for women, there remains a lack of in-depth understanding regarding the socio-cultural impact of such programs on family dynamics, gender roles, and cultural transmission. By exploring the intersection of financial independence and women’s contribution to family culture, this research provides insights that are directly applicable to designing more effective and inclusive policies.</w:t>
            </w:r>
          </w:p>
          <w:p w14:paraId="08AF7E8D">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1. Informing Gender-Sensitive Policy Design</w:t>
            </w:r>
          </w:p>
          <w:p w14:paraId="2F720044">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The study’s findings will offer empirical evidence on how financial empowerment through schemes like </w:t>
            </w:r>
            <w:r>
              <w:rPr>
                <w:rStyle w:val="13"/>
                <w:rFonts w:hint="default" w:ascii="Times New Roman" w:hAnsi="Times New Roman" w:cs="Times New Roman"/>
                <w:b w:val="0"/>
                <w:bCs w:val="0"/>
                <w:i w:val="0"/>
                <w:iCs w:val="0"/>
                <w:color w:val="auto"/>
                <w:sz w:val="24"/>
                <w:szCs w:val="24"/>
              </w:rPr>
              <w:t>Ladli Bahna Yojana</w:t>
            </w:r>
            <w:r>
              <w:rPr>
                <w:rFonts w:hint="default" w:ascii="Times New Roman" w:hAnsi="Times New Roman" w:cs="Times New Roman"/>
                <w:b w:val="0"/>
                <w:bCs w:val="0"/>
                <w:i w:val="0"/>
                <w:iCs w:val="0"/>
                <w:color w:val="auto"/>
                <w:sz w:val="24"/>
                <w:szCs w:val="24"/>
              </w:rPr>
              <w:t xml:space="preserve"> affects women’s decision-making authority within households. Policymakers can use this knowledge to design programs that not only provide economic benefits but also enhance women’s social and cultural agency. By highlighting the ways in which financial autonomy allows women to actively participate in cultural and household decisions, the research supports the development of policies that address both economic and socio-cultural dimensions of empowerment.</w:t>
            </w:r>
          </w:p>
          <w:p w14:paraId="08E736D6">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2. Enhancing Program Effectiveness and Targeting</w:t>
            </w:r>
          </w:p>
          <w:p w14:paraId="6FEFA8CD">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Comparative analysis between beneficiaries and non-beneficiaries will provide policymakers with a clearer understanding of the differential impacts of financial interventions. This can guide improvements in program targeting, ensuring that benefits reach women who are most in need of economic and social empowerment. Insights on socio-cultural factors—such as caste, regional diversity, and family structures—will enable the adaptation of programs to local contexts, increasing their effectiveness and acceptability.</w:t>
            </w:r>
          </w:p>
          <w:p w14:paraId="630FA7A7">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3. Supporting Cultural Preservation through Policy</w:t>
            </w:r>
          </w:p>
          <w:p w14:paraId="52B32D9B">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research emphasizes the role of women as cultural custodians within families. By documenting how financial independence influences women’s capacity to preserve, transmit, and adapt cultural traditions, the study informs policy decisions that balance modernization and cultural continuity. Policymakers can integrate cultural objectives into economic empowerment programs, ensuring that development initiatives promote holistic well-being rather than focusing solely on financial metrics.</w:t>
            </w:r>
          </w:p>
          <w:p w14:paraId="6E38A8B7">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4. Guiding Multi-Dimensional Development Programs</w:t>
            </w:r>
          </w:p>
          <w:p w14:paraId="49B6E4BA">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study’s findings can inform the design of integrated development programs that combine economic, educational, and socio-cultural interventions. For instance, pairing financial schemes with awareness programs on gender equality and cultural heritage can create synergistic outcomes, empowering women while preserving family and community traditions. This multi-dimensional approach addresses the complex realities of women’s lives, providing actionable insights for policymakers.</w:t>
            </w:r>
          </w:p>
          <w:p w14:paraId="047690D3">
            <w:pPr>
              <w:pStyle w:val="5"/>
              <w:keepNext w:val="0"/>
              <w:keepLines w:val="0"/>
              <w:widowControl/>
              <w:suppressLineNumbers w:val="0"/>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5. Evidence-Based Policy Recommendations</w:t>
            </w:r>
          </w:p>
          <w:p w14:paraId="57DF3C6D">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By generating qualitative, context-specific data, the research provides evidence-based recommendations for policy refinement and new program development. Policymakers can use these findings to identify barriers that limit women’s agency despite financial empowerment, such as persistent patriarchal norms, and design interventions that effectively address these challenges.</w:t>
            </w:r>
          </w:p>
          <w:p w14:paraId="04E7858F">
            <w:pPr>
              <w:pStyle w:val="14"/>
              <w:keepNext w:val="0"/>
              <w:keepLines w:val="0"/>
              <w:widowControl/>
              <w:suppressLineNumbers w:val="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In conclusion, the proposed study is highly relevant for policy-making as it bridges the gap between economic empowerment and cultural custodianship, providing actionable insights for gender-sensitive, culturally informed, and contextually grounded development initiatives. It equips policymakers with knowledge to create programs that enhance women’s authority, promote equality, and sustain cultural heritage within Indian families.</w:t>
            </w:r>
          </w:p>
          <w:p w14:paraId="6DD3F973">
            <w:pPr>
              <w:rPr>
                <w:rFonts w:hint="default" w:ascii="Times New Roman" w:hAnsi="Times New Roman" w:cs="Times New Roman"/>
                <w:b w:val="0"/>
                <w:bCs w:val="0"/>
                <w:i w:val="0"/>
                <w:iCs w:val="0"/>
                <w:color w:val="auto"/>
                <w:sz w:val="24"/>
                <w:szCs w:val="24"/>
              </w:rPr>
            </w:pPr>
          </w:p>
        </w:tc>
      </w:tr>
      <w:tr w14:paraId="4477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953" w:type="dxa"/>
          </w:tcPr>
          <w:p w14:paraId="6EC062DC">
            <w:pPr>
              <w:pStyle w:val="32"/>
              <w:numPr>
                <w:ilvl w:val="0"/>
                <w:numId w:val="0"/>
              </w:numPr>
              <w:spacing w:after="0" w:line="240" w:lineRule="auto"/>
              <w:contextualSpacing/>
              <w:rPr>
                <w:rFonts w:hint="default" w:ascii="Times New Roman" w:hAnsi="Times New Roman" w:cs="Times New Roman"/>
                <w:b w:val="0"/>
                <w:bCs w:val="0"/>
                <w:i w:val="0"/>
                <w:iCs w:val="0"/>
                <w:color w:val="auto"/>
                <w:sz w:val="24"/>
                <w:szCs w:val="24"/>
              </w:rPr>
            </w:pPr>
          </w:p>
        </w:tc>
        <w:tc>
          <w:tcPr>
            <w:tcW w:w="3510" w:type="dxa"/>
          </w:tcPr>
          <w:p w14:paraId="68F5E7A1">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Total Grant Amount expected for this study </w:t>
            </w:r>
          </w:p>
        </w:tc>
        <w:tc>
          <w:tcPr>
            <w:tcW w:w="6311" w:type="dxa"/>
            <w:gridSpan w:val="6"/>
          </w:tcPr>
          <w:p w14:paraId="4770FD14">
            <w:pPr>
              <w:rPr>
                <w:rFonts w:hint="default" w:ascii="Times New Roman" w:hAnsi="Times New Roman" w:cs="Times New Roman"/>
                <w:b w:val="0"/>
                <w:bCs w:val="0"/>
                <w:i w:val="0"/>
                <w:iCs w:val="0"/>
                <w:color w:val="auto"/>
                <w:sz w:val="24"/>
                <w:szCs w:val="24"/>
                <w:lang w:val="en-IN"/>
              </w:rPr>
            </w:pPr>
            <w:r>
              <w:rPr>
                <w:rFonts w:hint="default" w:ascii="Times New Roman" w:hAnsi="Times New Roman" w:cs="Times New Roman"/>
                <w:b w:val="0"/>
                <w:bCs w:val="0"/>
                <w:i w:val="0"/>
                <w:iCs w:val="0"/>
                <w:color w:val="auto"/>
                <w:sz w:val="24"/>
                <w:szCs w:val="24"/>
                <w:lang w:val="en-IN"/>
              </w:rPr>
              <w:t>Amount (in figures): ___</w:t>
            </w:r>
            <w:r>
              <w:rPr>
                <w:rStyle w:val="15"/>
                <w:rFonts w:hint="default" w:ascii="Times New Roman" w:hAnsi="Times New Roman" w:cs="Times New Roman"/>
                <w:b w:val="0"/>
                <w:bCs w:val="0"/>
                <w:color w:val="auto"/>
                <w:sz w:val="24"/>
                <w:szCs w:val="24"/>
              </w:rPr>
              <w:t>23,00,000</w:t>
            </w:r>
            <w:r>
              <w:rPr>
                <w:rFonts w:hint="default" w:ascii="Times New Roman" w:hAnsi="Times New Roman" w:cs="Times New Roman"/>
                <w:b w:val="0"/>
                <w:bCs w:val="0"/>
                <w:i w:val="0"/>
                <w:iCs w:val="0"/>
                <w:color w:val="auto"/>
                <w:sz w:val="24"/>
                <w:szCs w:val="24"/>
                <w:lang w:val="en-IN"/>
              </w:rPr>
              <w:t>____ (in ₹)</w:t>
            </w:r>
          </w:p>
          <w:p w14:paraId="3CC3F417">
            <w:pPr>
              <w:rPr>
                <w:rFonts w:hint="default" w:ascii="Times New Roman" w:hAnsi="Times New Roman" w:cs="Times New Roman"/>
                <w:b w:val="0"/>
                <w:bCs w:val="0"/>
                <w:i w:val="0"/>
                <w:iCs w:val="0"/>
                <w:color w:val="auto"/>
                <w:sz w:val="24"/>
                <w:szCs w:val="24"/>
                <w:lang w:val="en-IN"/>
              </w:rPr>
            </w:pPr>
            <w:r>
              <w:rPr>
                <w:rFonts w:hint="default" w:ascii="Times New Roman" w:hAnsi="Times New Roman" w:cs="Times New Roman"/>
                <w:b w:val="0"/>
                <w:bCs w:val="0"/>
                <w:i w:val="0"/>
                <w:iCs w:val="0"/>
                <w:color w:val="auto"/>
                <w:sz w:val="24"/>
                <w:szCs w:val="24"/>
                <w:lang w:val="en-IN"/>
              </w:rPr>
              <w:t xml:space="preserve">Amount (in words): _____Twenty </w:t>
            </w:r>
            <w:r>
              <w:rPr>
                <w:rFonts w:hint="default" w:ascii="Times New Roman" w:hAnsi="Times New Roman" w:cs="Times New Roman"/>
                <w:b w:val="0"/>
                <w:bCs w:val="0"/>
                <w:i w:val="0"/>
                <w:iCs w:val="0"/>
                <w:color w:val="auto"/>
                <w:sz w:val="24"/>
                <w:szCs w:val="24"/>
                <w:lang w:val="en-US"/>
              </w:rPr>
              <w:t>Three</w:t>
            </w:r>
            <w:r>
              <w:rPr>
                <w:rFonts w:hint="default" w:ascii="Times New Roman" w:hAnsi="Times New Roman" w:cs="Times New Roman"/>
                <w:b w:val="0"/>
                <w:bCs w:val="0"/>
                <w:i w:val="0"/>
                <w:iCs w:val="0"/>
                <w:color w:val="auto"/>
                <w:sz w:val="24"/>
                <w:szCs w:val="24"/>
                <w:lang w:val="en-IN"/>
              </w:rPr>
              <w:t xml:space="preserve"> Lakh_____</w:t>
            </w:r>
          </w:p>
        </w:tc>
      </w:tr>
      <w:tr w14:paraId="63D9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Pr>
        <w:tc>
          <w:tcPr>
            <w:tcW w:w="953" w:type="dxa"/>
          </w:tcPr>
          <w:p w14:paraId="3EA5F1B7">
            <w:pP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15</w:t>
            </w:r>
          </w:p>
        </w:tc>
        <w:tc>
          <w:tcPr>
            <w:tcW w:w="3510" w:type="dxa"/>
            <w:shd w:val="clear" w:color="auto" w:fill="auto"/>
            <w:vAlign w:val="top"/>
          </w:tcPr>
          <w:p w14:paraId="72F414A4">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Head-wise Justification for the Expected Grant (approx. 400 words)</w:t>
            </w:r>
          </w:p>
          <w:p w14:paraId="692E2A17">
            <w:pPr>
              <w:rPr>
                <w:rFonts w:hint="default" w:ascii="Times New Roman" w:hAnsi="Times New Roman" w:cs="Times New Roman" w:eastAsiaTheme="minorEastAsia"/>
                <w:b w:val="0"/>
                <w:bCs w:val="0"/>
                <w:color w:val="auto"/>
                <w:kern w:val="0"/>
                <w:sz w:val="24"/>
                <w:szCs w:val="24"/>
                <w:lang w:val="en-US" w:eastAsia="en-US" w:bidi="ar-SA"/>
                <w14:ligatures w14:val="none"/>
              </w:rPr>
            </w:pPr>
            <w:r>
              <w:rPr>
                <w:rFonts w:hint="default" w:ascii="Times New Roman" w:hAnsi="Times New Roman" w:cs="Times New Roman"/>
                <w:b w:val="0"/>
                <w:bCs w:val="0"/>
                <w:color w:val="auto"/>
                <w:sz w:val="24"/>
                <w:szCs w:val="24"/>
              </w:rPr>
              <w:t>(Manpower, travel, fieldwork, equipment, contingency, etc.)</w:t>
            </w:r>
          </w:p>
        </w:tc>
        <w:tc>
          <w:tcPr>
            <w:tcW w:w="6155" w:type="dxa"/>
            <w:gridSpan w:val="5"/>
            <w:shd w:val="clear" w:color="auto" w:fill="auto"/>
            <w:vAlign w:val="top"/>
          </w:tcPr>
          <w:p w14:paraId="064429D5">
            <w:pPr>
              <w:pStyle w:val="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Budget Justification (Total Cost: ₹23,00,000)</w:t>
            </w:r>
          </w:p>
          <w:p w14:paraId="52EDB37F">
            <w:pPr>
              <w:pStyle w:val="14"/>
              <w:keepNext w:val="0"/>
              <w:keepLines w:val="0"/>
              <w:widowControl/>
              <w:suppressLineNumbers w:val="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proposed budget of ₹23 lakh has been carefully structured to ensure transparency, accountability, and alignment with ICSSR financial norms. Each component is calculated based on realistic estimates derived from comparable ICSSR-funded projects and local institutional rates. The distribution supports a 24-month social science research project involving mixed-method data collection across two states.</w:t>
            </w:r>
          </w:p>
          <w:p w14:paraId="4C757C6F">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1. Personnel Costs (₹8,20,000):</w:t>
            </w:r>
          </w:p>
          <w:p w14:paraId="3B7FF47E">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Research Associate (1 person for 18 months @ ₹30,000/month = ₹5,40,000):</w:t>
            </w:r>
            <w:r>
              <w:rPr>
                <w:rFonts w:hint="default" w:ascii="Times New Roman" w:hAnsi="Times New Roman" w:cs="Times New Roman"/>
                <w:b w:val="0"/>
                <w:bCs w:val="0"/>
                <w:color w:val="auto"/>
                <w:sz w:val="24"/>
                <w:szCs w:val="24"/>
              </w:rPr>
              <w:t xml:space="preserve"> Responsible for coordinating fieldwork, managing data collection, preliminary analysis, and report writing. The salary reflects current institutional norms for postgraduate research personnel.</w:t>
            </w:r>
          </w:p>
          <w:p w14:paraId="1FF231F6">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Field Investigators (2 persons for 4 months @ ₹20,000/month = ₹1,60,000):</w:t>
            </w:r>
            <w:r>
              <w:rPr>
                <w:rFonts w:hint="default" w:ascii="Times New Roman" w:hAnsi="Times New Roman" w:cs="Times New Roman"/>
                <w:b w:val="0"/>
                <w:bCs w:val="0"/>
                <w:color w:val="auto"/>
                <w:sz w:val="24"/>
                <w:szCs w:val="24"/>
              </w:rPr>
              <w:t xml:space="preserve"> Engaged during primary data collection across 400 households in two districts. Their training, travel, and local language competence ensure data reliability.</w:t>
            </w:r>
          </w:p>
          <w:p w14:paraId="797B8115">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Data Entry Operators (2 persons for 1 month @ ₹30,000/month = ₹60,000):</w:t>
            </w:r>
            <w:r>
              <w:rPr>
                <w:rFonts w:hint="default" w:ascii="Times New Roman" w:hAnsi="Times New Roman" w:cs="Times New Roman"/>
                <w:b w:val="0"/>
                <w:bCs w:val="0"/>
                <w:color w:val="auto"/>
                <w:sz w:val="24"/>
                <w:szCs w:val="24"/>
              </w:rPr>
              <w:t xml:space="preserve"> Required for digitizing survey data and transcripts from paper-based tools.</w:t>
            </w:r>
          </w:p>
          <w:p w14:paraId="6DC926FA">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Data Analyst (1 person for 2 months @ ₹30,000/month = ₹60,000):</w:t>
            </w:r>
            <w:r>
              <w:rPr>
                <w:rFonts w:hint="default" w:ascii="Times New Roman" w:hAnsi="Times New Roman" w:cs="Times New Roman"/>
                <w:b w:val="0"/>
                <w:bCs w:val="0"/>
                <w:color w:val="auto"/>
                <w:sz w:val="24"/>
                <w:szCs w:val="24"/>
              </w:rPr>
              <w:t xml:space="preserve"> Supports advanced statistical and qualitative analysis under PI supervision.</w:t>
            </w:r>
          </w:p>
          <w:p w14:paraId="5609E7D9">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2. Travel and Fieldwork (₹4,50,000):</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Includes both local and outstation travel for data collection and stakeholder consultations.</w:t>
            </w:r>
          </w:p>
          <w:p w14:paraId="0C3AC0C1">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Field Visits (₹2,20,000):</w:t>
            </w:r>
            <w:r>
              <w:rPr>
                <w:rFonts w:hint="default" w:ascii="Times New Roman" w:hAnsi="Times New Roman" w:cs="Times New Roman"/>
                <w:b w:val="0"/>
                <w:bCs w:val="0"/>
                <w:color w:val="auto"/>
                <w:sz w:val="24"/>
                <w:szCs w:val="24"/>
              </w:rPr>
              <w:t xml:space="preserve"> For PI, RA, and investigators covering two states; includes transport, local conveyance, lodging, and per diem (calculated @ ₹2,500/day for 88 person-days).</w:t>
            </w:r>
          </w:p>
          <w:p w14:paraId="0E4CE039">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Outstation Workshops (₹1,00,000):</w:t>
            </w:r>
            <w:r>
              <w:rPr>
                <w:rFonts w:hint="default" w:ascii="Times New Roman" w:hAnsi="Times New Roman" w:cs="Times New Roman"/>
                <w:b w:val="0"/>
                <w:bCs w:val="0"/>
                <w:color w:val="auto"/>
                <w:sz w:val="24"/>
                <w:szCs w:val="24"/>
              </w:rPr>
              <w:t xml:space="preserve"> Two dissemination meetings in Delhi and Bhopal; cost covers train fare, stay (3 nights), and per diem.</w:t>
            </w:r>
          </w:p>
          <w:p w14:paraId="53193DE3">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Contingent Travel (₹1,30,000):</w:t>
            </w:r>
            <w:r>
              <w:rPr>
                <w:rFonts w:hint="default" w:ascii="Times New Roman" w:hAnsi="Times New Roman" w:cs="Times New Roman"/>
                <w:b w:val="0"/>
                <w:bCs w:val="0"/>
                <w:color w:val="auto"/>
                <w:sz w:val="24"/>
                <w:szCs w:val="24"/>
              </w:rPr>
              <w:t xml:space="preserve"> Covers institutional meetings, coordination visits, and participant reimbursements.</w:t>
            </w:r>
          </w:p>
          <w:p w14:paraId="20475A32">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3. Equipment and Software (₹2,00,000):</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Procurement of one mid-range laptop (₹90,000), printer/scanner (₹40,000), and licensed qualitative data analysis software (₹70,000). These are essential for transcription, coding, and data storage since institutional resources are inadequate.</w:t>
            </w:r>
          </w:p>
          <w:p w14:paraId="018394BB">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4. Field Materials and Printing (₹1,50,000):</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Covers development, piloting, and printing of research instruments, consent forms, and study documentation for approximately 800 participants.</w:t>
            </w:r>
          </w:p>
          <w:p w14:paraId="3044D5B9">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5. Data Analysis and Report Preparation (₹2,30,000):</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Covers professional language editing (₹80,000), transcription and translation (₹1,00,000), and open-access publication/printing (₹50,000).</w:t>
            </w:r>
          </w:p>
          <w:p w14:paraId="3605822A">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6. Dissemination and Contingency (₹4,50,000):</w:t>
            </w:r>
          </w:p>
          <w:p w14:paraId="0324938B">
            <w:pPr>
              <w:pStyle w:val="14"/>
              <w:keepNext w:val="0"/>
              <w:keepLines w:val="0"/>
              <w:widowControl/>
              <w:suppressLineNumbers w:val="0"/>
              <w:jc w:val="both"/>
              <w:rPr>
                <w:rFonts w:hint="default" w:ascii="Times New Roman" w:hAnsi="Times New Roman" w:cs="Times New Roman"/>
                <w:b w:val="0"/>
                <w:bCs w:val="0"/>
                <w:color w:val="auto"/>
                <w:sz w:val="24"/>
                <w:szCs w:val="24"/>
              </w:rPr>
            </w:pPr>
            <w:r>
              <w:rPr>
                <w:rStyle w:val="15"/>
                <w:rFonts w:hint="default" w:ascii="Times New Roman" w:hAnsi="Times New Roman" w:cs="Times New Roman"/>
                <w:b w:val="0"/>
                <w:bCs w:val="0"/>
                <w:color w:val="auto"/>
                <w:sz w:val="24"/>
                <w:szCs w:val="24"/>
              </w:rPr>
              <w:t>National Dissemination Workshop (₹2,50,000):</w:t>
            </w:r>
            <w:r>
              <w:rPr>
                <w:rFonts w:hint="default" w:ascii="Times New Roman" w:hAnsi="Times New Roman" w:cs="Times New Roman"/>
                <w:b w:val="0"/>
                <w:bCs w:val="0"/>
                <w:color w:val="auto"/>
                <w:sz w:val="24"/>
                <w:szCs w:val="24"/>
              </w:rPr>
              <w:t xml:space="preserve"> Venue, materials, and participant support.</w:t>
            </w:r>
          </w:p>
          <w:p w14:paraId="61C52410">
            <w:pPr>
              <w:pStyle w:val="14"/>
              <w:keepNext w:val="0"/>
              <w:keepLines w:val="0"/>
              <w:widowControl/>
              <w:suppressLineNumbers w:val="0"/>
              <w:jc w:val="both"/>
              <w:rPr>
                <w:rFonts w:hint="default" w:ascii="Times New Roman" w:hAnsi="Times New Roman" w:eastAsia="Times New Roman" w:cs="Times New Roman"/>
                <w:b w:val="0"/>
                <w:bCs w:val="0"/>
                <w:color w:val="auto"/>
                <w:kern w:val="0"/>
                <w:sz w:val="24"/>
                <w:szCs w:val="24"/>
                <w:lang w:val="en-IN" w:eastAsia="en-IN" w:bidi="ar-SA"/>
                <w14:ligatures w14:val="none"/>
              </w:rPr>
            </w:pPr>
            <w:r>
              <w:rPr>
                <w:rStyle w:val="15"/>
                <w:rFonts w:hint="default" w:ascii="Times New Roman" w:hAnsi="Times New Roman" w:cs="Times New Roman"/>
                <w:b w:val="0"/>
                <w:bCs w:val="0"/>
                <w:color w:val="auto"/>
                <w:sz w:val="24"/>
                <w:szCs w:val="24"/>
              </w:rPr>
              <w:t>Contingency and Institutional Overheads (₹2,00,000):</w:t>
            </w:r>
            <w:r>
              <w:rPr>
                <w:rFonts w:hint="default" w:ascii="Times New Roman" w:hAnsi="Times New Roman" w:cs="Times New Roman"/>
                <w:b w:val="0"/>
                <w:bCs w:val="0"/>
                <w:color w:val="auto"/>
                <w:sz w:val="24"/>
                <w:szCs w:val="24"/>
              </w:rPr>
              <w:t xml:space="preserve"> Institutional support (8–10%) as per ICSSR ceiling.</w:t>
            </w:r>
          </w:p>
        </w:tc>
      </w:tr>
      <w:tr w14:paraId="3D914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1134" w:hRule="atLeast"/>
        </w:trPr>
        <w:tc>
          <w:tcPr>
            <w:tcW w:w="953" w:type="dxa"/>
            <w:vMerge w:val="restart"/>
          </w:tcPr>
          <w:p w14:paraId="51F958AC">
            <w:pP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16.</w:t>
            </w:r>
          </w:p>
        </w:tc>
        <w:tc>
          <w:tcPr>
            <w:tcW w:w="3510" w:type="dxa"/>
            <w:vMerge w:val="restart"/>
          </w:tcPr>
          <w:p w14:paraId="2C0D9F93">
            <w:pPr>
              <w:rPr>
                <w:rFonts w:hint="default" w:ascii="Times New Roman" w:hAnsi="Times New Roman" w:cs="Times New Roman"/>
                <w:b w:val="0"/>
                <w:bCs w:val="0"/>
                <w:color w:val="auto"/>
                <w:sz w:val="24"/>
                <w:szCs w:val="24"/>
                <w:vertAlign w:val="baseline"/>
              </w:rPr>
            </w:pPr>
          </w:p>
        </w:tc>
        <w:tc>
          <w:tcPr>
            <w:tcW w:w="1449" w:type="dxa"/>
            <w:shd w:val="clear" w:color="auto" w:fill="auto"/>
            <w:vAlign w:val="center"/>
          </w:tcPr>
          <w:p w14:paraId="5CA84AFF">
            <w:pPr>
              <w:keepNext w:val="0"/>
              <w:keepLines w:val="0"/>
              <w:widowControl/>
              <w:suppressLineNumbers w:val="0"/>
              <w:jc w:val="center"/>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Timeline</w:t>
            </w:r>
          </w:p>
        </w:tc>
        <w:tc>
          <w:tcPr>
            <w:tcW w:w="2013" w:type="dxa"/>
            <w:gridSpan w:val="2"/>
            <w:shd w:val="clear" w:color="auto" w:fill="auto"/>
            <w:vAlign w:val="center"/>
          </w:tcPr>
          <w:p w14:paraId="51EE3F2E">
            <w:pPr>
              <w:keepNext w:val="0"/>
              <w:keepLines w:val="0"/>
              <w:widowControl/>
              <w:suppressLineNumbers w:val="0"/>
              <w:jc w:val="center"/>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Milestones / Activities</w:t>
            </w:r>
          </w:p>
        </w:tc>
        <w:tc>
          <w:tcPr>
            <w:tcW w:w="2693" w:type="dxa"/>
            <w:gridSpan w:val="2"/>
            <w:shd w:val="clear" w:color="auto" w:fill="auto"/>
            <w:vAlign w:val="center"/>
          </w:tcPr>
          <w:p w14:paraId="77628528">
            <w:pPr>
              <w:keepNext w:val="0"/>
              <w:keepLines w:val="0"/>
              <w:widowControl/>
              <w:suppressLineNumbers w:val="0"/>
              <w:jc w:val="center"/>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Deliverables</w:t>
            </w:r>
          </w:p>
        </w:tc>
      </w:tr>
      <w:tr w14:paraId="5D4D9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1196" w:hRule="atLeast"/>
        </w:trPr>
        <w:tc>
          <w:tcPr>
            <w:tcW w:w="953" w:type="dxa"/>
            <w:vMerge w:val="continue"/>
          </w:tcPr>
          <w:p w14:paraId="76BA7E71">
            <w:pPr>
              <w:rPr>
                <w:rFonts w:hint="default" w:ascii="Times New Roman" w:hAnsi="Times New Roman" w:cs="Times New Roman"/>
                <w:b w:val="0"/>
                <w:bCs w:val="0"/>
                <w:color w:val="auto"/>
                <w:sz w:val="24"/>
                <w:szCs w:val="24"/>
                <w:vertAlign w:val="baseline"/>
                <w:lang w:val="en-US"/>
              </w:rPr>
            </w:pPr>
          </w:p>
        </w:tc>
        <w:tc>
          <w:tcPr>
            <w:tcW w:w="3510" w:type="dxa"/>
            <w:vMerge w:val="continue"/>
          </w:tcPr>
          <w:p w14:paraId="30435F0C">
            <w:pPr>
              <w:rPr>
                <w:rFonts w:hint="default" w:ascii="Times New Roman" w:hAnsi="Times New Roman" w:cs="Times New Roman"/>
                <w:b w:val="0"/>
                <w:bCs w:val="0"/>
                <w:color w:val="auto"/>
                <w:sz w:val="24"/>
                <w:szCs w:val="24"/>
                <w:vertAlign w:val="baseline"/>
              </w:rPr>
            </w:pPr>
          </w:p>
        </w:tc>
        <w:tc>
          <w:tcPr>
            <w:tcW w:w="1449" w:type="dxa"/>
            <w:vMerge w:val="restart"/>
          </w:tcPr>
          <w:p w14:paraId="372A8A47">
            <w:pPr>
              <w:rPr>
                <w:rFonts w:hint="default" w:ascii="Times New Roman" w:hAnsi="Times New Roman" w:eastAsia="SimSun" w:cs="Times New Roman"/>
                <w:b w:val="0"/>
                <w:bCs w:val="0"/>
                <w:i w:val="0"/>
                <w:iCs w:val="0"/>
                <w:color w:val="auto"/>
                <w:kern w:val="0"/>
                <w:sz w:val="24"/>
                <w:szCs w:val="24"/>
                <w:u w:val="none"/>
                <w:lang w:val="en-US" w:eastAsia="zh-CN" w:bidi="ar"/>
                <w14:ligatures w14:val="none"/>
              </w:rPr>
            </w:pPr>
          </w:p>
          <w:p w14:paraId="63A2E979">
            <w:pPr>
              <w:rPr>
                <w:rFonts w:hint="default" w:ascii="Times New Roman" w:hAnsi="Times New Roman" w:eastAsia="SimSun" w:cs="Times New Roman"/>
                <w:b w:val="0"/>
                <w:bCs w:val="0"/>
                <w:i w:val="0"/>
                <w:iCs w:val="0"/>
                <w:color w:val="auto"/>
                <w:kern w:val="0"/>
                <w:sz w:val="24"/>
                <w:szCs w:val="24"/>
                <w:u w:val="none"/>
                <w:lang w:val="en-US" w:eastAsia="zh-CN" w:bidi="ar"/>
                <w14:ligatures w14:val="none"/>
              </w:rPr>
            </w:pPr>
          </w:p>
          <w:p w14:paraId="6D03FA2B">
            <w:pPr>
              <w:rPr>
                <w:rFonts w:hint="default" w:ascii="Times New Roman" w:hAnsi="Times New Roman" w:eastAsia="SimSun" w:cs="Times New Roman"/>
                <w:b w:val="0"/>
                <w:bCs w:val="0"/>
                <w:i w:val="0"/>
                <w:iCs w:val="0"/>
                <w:color w:val="auto"/>
                <w:kern w:val="0"/>
                <w:sz w:val="24"/>
                <w:szCs w:val="24"/>
                <w:u w:val="none"/>
                <w:lang w:val="en-US" w:eastAsia="zh-CN" w:bidi="ar"/>
                <w14:ligatures w14:val="none"/>
              </w:rPr>
            </w:pPr>
          </w:p>
          <w:p w14:paraId="2351606F">
            <w:pPr>
              <w:rPr>
                <w:rFonts w:hint="default" w:ascii="Times New Roman" w:hAnsi="Times New Roman" w:eastAsia="SimSun" w:cs="Times New Roman"/>
                <w:b w:val="0"/>
                <w:bCs w:val="0"/>
                <w:i w:val="0"/>
                <w:iCs w:val="0"/>
                <w:color w:val="auto"/>
                <w:kern w:val="0"/>
                <w:sz w:val="24"/>
                <w:szCs w:val="24"/>
                <w:u w:val="none"/>
                <w:lang w:val="en-US" w:eastAsia="zh-CN" w:bidi="ar"/>
                <w14:ligatures w14:val="none"/>
              </w:rPr>
            </w:pPr>
          </w:p>
          <w:p w14:paraId="73764044">
            <w:pPr>
              <w:rPr>
                <w:rFonts w:hint="default" w:ascii="Times New Roman" w:hAnsi="Times New Roman" w:eastAsia="SimSun" w:cs="Times New Roman"/>
                <w:b w:val="0"/>
                <w:bCs w:val="0"/>
                <w:i w:val="0"/>
                <w:iCs w:val="0"/>
                <w:color w:val="auto"/>
                <w:kern w:val="0"/>
                <w:sz w:val="24"/>
                <w:szCs w:val="24"/>
                <w:u w:val="none"/>
                <w:lang w:val="en-US" w:eastAsia="zh-CN" w:bidi="ar"/>
                <w14:ligatures w14:val="none"/>
              </w:rPr>
            </w:pPr>
          </w:p>
          <w:p w14:paraId="468213CA">
            <w:pPr>
              <w:rPr>
                <w:rFonts w:hint="default" w:ascii="Times New Roman" w:hAnsi="Times New Roman" w:cs="Times New Roman"/>
                <w:b w:val="0"/>
                <w:bCs w:val="0"/>
                <w:color w:val="auto"/>
                <w:sz w:val="24"/>
                <w:szCs w:val="24"/>
                <w:vertAlign w:val="baseli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6 months</w:t>
            </w:r>
          </w:p>
        </w:tc>
        <w:tc>
          <w:tcPr>
            <w:tcW w:w="2013" w:type="dxa"/>
            <w:gridSpan w:val="2"/>
            <w:shd w:val="clear" w:color="auto" w:fill="auto"/>
            <w:vAlign w:val="center"/>
          </w:tcPr>
          <w:p w14:paraId="160F3FBC">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Comprehensive literature review and theoretical framework development</w:t>
            </w:r>
          </w:p>
        </w:tc>
        <w:tc>
          <w:tcPr>
            <w:tcW w:w="2693" w:type="dxa"/>
            <w:gridSpan w:val="2"/>
            <w:shd w:val="clear" w:color="auto" w:fill="auto"/>
            <w:vAlign w:val="center"/>
          </w:tcPr>
          <w:p w14:paraId="77D10F63">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Review and conceptual framework report</w:t>
            </w:r>
          </w:p>
        </w:tc>
      </w:tr>
      <w:tr w14:paraId="5066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1085" w:hRule="atLeast"/>
        </w:trPr>
        <w:tc>
          <w:tcPr>
            <w:tcW w:w="953" w:type="dxa"/>
            <w:vMerge w:val="continue"/>
          </w:tcPr>
          <w:p w14:paraId="7064DF26">
            <w:pPr>
              <w:rPr>
                <w:rFonts w:hint="default" w:ascii="Times New Roman" w:hAnsi="Times New Roman" w:cs="Times New Roman"/>
                <w:b w:val="0"/>
                <w:bCs w:val="0"/>
                <w:color w:val="auto"/>
                <w:sz w:val="24"/>
                <w:szCs w:val="24"/>
                <w:vertAlign w:val="baseline"/>
                <w:lang w:val="en-US"/>
              </w:rPr>
            </w:pPr>
          </w:p>
        </w:tc>
        <w:tc>
          <w:tcPr>
            <w:tcW w:w="3510" w:type="dxa"/>
            <w:vMerge w:val="continue"/>
          </w:tcPr>
          <w:p w14:paraId="26BE3303">
            <w:pPr>
              <w:rPr>
                <w:rFonts w:hint="default" w:ascii="Times New Roman" w:hAnsi="Times New Roman" w:cs="Times New Roman"/>
                <w:b w:val="0"/>
                <w:bCs w:val="0"/>
                <w:color w:val="auto"/>
                <w:sz w:val="24"/>
                <w:szCs w:val="24"/>
                <w:vertAlign w:val="baseline"/>
              </w:rPr>
            </w:pPr>
          </w:p>
        </w:tc>
        <w:tc>
          <w:tcPr>
            <w:tcW w:w="1449" w:type="dxa"/>
            <w:vMerge w:val="continue"/>
          </w:tcPr>
          <w:p w14:paraId="7544E2F7">
            <w:pPr>
              <w:rPr>
                <w:rFonts w:hint="default" w:ascii="Times New Roman" w:hAnsi="Times New Roman" w:cs="Times New Roman"/>
                <w:b w:val="0"/>
                <w:bCs w:val="0"/>
                <w:color w:val="auto"/>
                <w:sz w:val="24"/>
                <w:szCs w:val="24"/>
                <w:vertAlign w:val="baseline"/>
              </w:rPr>
            </w:pPr>
          </w:p>
        </w:tc>
        <w:tc>
          <w:tcPr>
            <w:tcW w:w="2013" w:type="dxa"/>
            <w:gridSpan w:val="2"/>
            <w:shd w:val="clear" w:color="auto" w:fill="auto"/>
            <w:vAlign w:val="center"/>
          </w:tcPr>
          <w:p w14:paraId="6D1C71F5">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Selection/adaptation or preliminary construction of research tools</w:t>
            </w:r>
          </w:p>
        </w:tc>
        <w:tc>
          <w:tcPr>
            <w:tcW w:w="2693" w:type="dxa"/>
            <w:gridSpan w:val="2"/>
            <w:shd w:val="clear" w:color="auto" w:fill="auto"/>
            <w:vAlign w:val="center"/>
          </w:tcPr>
          <w:p w14:paraId="784EE8B6">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 xml:space="preserve"> Approved/validated research instruments</w:t>
            </w:r>
          </w:p>
        </w:tc>
      </w:tr>
      <w:tr w14:paraId="5E2B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1520" w:hRule="atLeast"/>
        </w:trPr>
        <w:tc>
          <w:tcPr>
            <w:tcW w:w="953" w:type="dxa"/>
            <w:vMerge w:val="continue"/>
          </w:tcPr>
          <w:p w14:paraId="1CEA700F">
            <w:pPr>
              <w:rPr>
                <w:rFonts w:hint="default" w:ascii="Times New Roman" w:hAnsi="Times New Roman" w:cs="Times New Roman"/>
                <w:b w:val="0"/>
                <w:bCs w:val="0"/>
                <w:color w:val="auto"/>
                <w:sz w:val="24"/>
                <w:szCs w:val="24"/>
                <w:vertAlign w:val="baseline"/>
                <w:lang w:val="en-US"/>
              </w:rPr>
            </w:pPr>
          </w:p>
        </w:tc>
        <w:tc>
          <w:tcPr>
            <w:tcW w:w="3510" w:type="dxa"/>
            <w:vMerge w:val="continue"/>
          </w:tcPr>
          <w:p w14:paraId="1C7518F0">
            <w:pPr>
              <w:rPr>
                <w:rFonts w:hint="default" w:ascii="Times New Roman" w:hAnsi="Times New Roman" w:cs="Times New Roman"/>
                <w:b w:val="0"/>
                <w:bCs w:val="0"/>
                <w:color w:val="auto"/>
                <w:sz w:val="24"/>
                <w:szCs w:val="24"/>
                <w:vertAlign w:val="baseline"/>
              </w:rPr>
            </w:pPr>
          </w:p>
        </w:tc>
        <w:tc>
          <w:tcPr>
            <w:tcW w:w="1449" w:type="dxa"/>
            <w:vMerge w:val="continue"/>
          </w:tcPr>
          <w:p w14:paraId="5D482FC6">
            <w:pPr>
              <w:rPr>
                <w:rFonts w:hint="default" w:ascii="Times New Roman" w:hAnsi="Times New Roman" w:cs="Times New Roman"/>
                <w:b w:val="0"/>
                <w:bCs w:val="0"/>
                <w:color w:val="auto"/>
                <w:sz w:val="24"/>
                <w:szCs w:val="24"/>
                <w:vertAlign w:val="baseline"/>
              </w:rPr>
            </w:pPr>
          </w:p>
        </w:tc>
        <w:tc>
          <w:tcPr>
            <w:tcW w:w="2013" w:type="dxa"/>
            <w:gridSpan w:val="2"/>
            <w:shd w:val="clear" w:color="auto" w:fill="auto"/>
            <w:vAlign w:val="center"/>
          </w:tcPr>
          <w:p w14:paraId="009F314C">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Ethical clearance and pilot testing</w:t>
            </w:r>
          </w:p>
        </w:tc>
        <w:tc>
          <w:tcPr>
            <w:tcW w:w="2693" w:type="dxa"/>
            <w:gridSpan w:val="2"/>
            <w:shd w:val="clear" w:color="auto" w:fill="auto"/>
            <w:vAlign w:val="center"/>
          </w:tcPr>
          <w:p w14:paraId="765ABF93">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Ethical clearance certificate</w:t>
            </w:r>
          </w:p>
        </w:tc>
      </w:tr>
      <w:tr w14:paraId="1344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1325" w:hRule="atLeast"/>
        </w:trPr>
        <w:tc>
          <w:tcPr>
            <w:tcW w:w="953" w:type="dxa"/>
            <w:vMerge w:val="continue"/>
          </w:tcPr>
          <w:p w14:paraId="48020041">
            <w:pPr>
              <w:rPr>
                <w:rFonts w:hint="default" w:ascii="Times New Roman" w:hAnsi="Times New Roman" w:cs="Times New Roman"/>
                <w:b w:val="0"/>
                <w:bCs w:val="0"/>
                <w:color w:val="auto"/>
                <w:sz w:val="24"/>
                <w:szCs w:val="24"/>
                <w:vertAlign w:val="baseline"/>
                <w:lang w:val="en-US"/>
              </w:rPr>
            </w:pPr>
          </w:p>
        </w:tc>
        <w:tc>
          <w:tcPr>
            <w:tcW w:w="3510" w:type="dxa"/>
            <w:vMerge w:val="continue"/>
          </w:tcPr>
          <w:p w14:paraId="1DCCD345">
            <w:pPr>
              <w:rPr>
                <w:rFonts w:hint="default" w:ascii="Times New Roman" w:hAnsi="Times New Roman" w:cs="Times New Roman"/>
                <w:b w:val="0"/>
                <w:bCs w:val="0"/>
                <w:color w:val="auto"/>
                <w:sz w:val="24"/>
                <w:szCs w:val="24"/>
                <w:vertAlign w:val="baseline"/>
              </w:rPr>
            </w:pPr>
          </w:p>
        </w:tc>
        <w:tc>
          <w:tcPr>
            <w:tcW w:w="1449" w:type="dxa"/>
            <w:vMerge w:val="continue"/>
          </w:tcPr>
          <w:p w14:paraId="7B0F1961">
            <w:pPr>
              <w:rPr>
                <w:rFonts w:hint="default" w:ascii="Times New Roman" w:hAnsi="Times New Roman" w:cs="Times New Roman"/>
                <w:b w:val="0"/>
                <w:bCs w:val="0"/>
                <w:color w:val="auto"/>
                <w:sz w:val="24"/>
                <w:szCs w:val="24"/>
                <w:vertAlign w:val="baseline"/>
              </w:rPr>
            </w:pPr>
          </w:p>
        </w:tc>
        <w:tc>
          <w:tcPr>
            <w:tcW w:w="2013" w:type="dxa"/>
            <w:gridSpan w:val="2"/>
            <w:shd w:val="clear" w:color="auto" w:fill="auto"/>
            <w:vAlign w:val="center"/>
          </w:tcPr>
          <w:p w14:paraId="0F463BA6">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Ethical clearance and pilot testing</w:t>
            </w:r>
          </w:p>
        </w:tc>
        <w:tc>
          <w:tcPr>
            <w:tcW w:w="2693" w:type="dxa"/>
            <w:gridSpan w:val="2"/>
            <w:shd w:val="clear" w:color="auto" w:fill="auto"/>
            <w:vAlign w:val="center"/>
          </w:tcPr>
          <w:p w14:paraId="5B47ED02">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Ethical clearance certificate</w:t>
            </w:r>
          </w:p>
        </w:tc>
      </w:tr>
      <w:tr w14:paraId="309EE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3316" w:hRule="atLeast"/>
        </w:trPr>
        <w:tc>
          <w:tcPr>
            <w:tcW w:w="953" w:type="dxa"/>
            <w:vMerge w:val="continue"/>
          </w:tcPr>
          <w:p w14:paraId="0DBEBA95">
            <w:pPr>
              <w:rPr>
                <w:rFonts w:hint="default" w:ascii="Times New Roman" w:hAnsi="Times New Roman" w:cs="Times New Roman"/>
                <w:b w:val="0"/>
                <w:bCs w:val="0"/>
                <w:color w:val="auto"/>
                <w:sz w:val="24"/>
                <w:szCs w:val="24"/>
                <w:vertAlign w:val="baseline"/>
                <w:lang w:val="en-US"/>
              </w:rPr>
            </w:pPr>
          </w:p>
        </w:tc>
        <w:tc>
          <w:tcPr>
            <w:tcW w:w="3510" w:type="dxa"/>
            <w:vMerge w:val="continue"/>
          </w:tcPr>
          <w:p w14:paraId="5A9AF3A5">
            <w:pPr>
              <w:rPr>
                <w:rFonts w:hint="default" w:ascii="Times New Roman" w:hAnsi="Times New Roman" w:cs="Times New Roman"/>
                <w:b w:val="0"/>
                <w:bCs w:val="0"/>
                <w:color w:val="auto"/>
                <w:sz w:val="24"/>
                <w:szCs w:val="24"/>
                <w:vertAlign w:val="baseline"/>
              </w:rPr>
            </w:pPr>
          </w:p>
        </w:tc>
        <w:tc>
          <w:tcPr>
            <w:tcW w:w="1449" w:type="dxa"/>
          </w:tcPr>
          <w:p w14:paraId="4B18E53D">
            <w:pPr>
              <w:rPr>
                <w:rFonts w:hint="default" w:ascii="Times New Roman" w:hAnsi="Times New Roman" w:cs="Times New Roman"/>
                <w:b w:val="0"/>
                <w:bCs w:val="0"/>
                <w:color w:val="auto"/>
                <w:sz w:val="24"/>
                <w:szCs w:val="24"/>
                <w:vertAlign w:val="baseline"/>
              </w:rPr>
            </w:pPr>
          </w:p>
        </w:tc>
        <w:tc>
          <w:tcPr>
            <w:tcW w:w="2013" w:type="dxa"/>
            <w:gridSpan w:val="2"/>
            <w:shd w:val="clear" w:color="auto" w:fill="auto"/>
            <w:vAlign w:val="center"/>
          </w:tcPr>
          <w:p w14:paraId="174037E0">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Identification of study sites and participant recruitment plan</w:t>
            </w:r>
          </w:p>
        </w:tc>
        <w:tc>
          <w:tcPr>
            <w:tcW w:w="2693" w:type="dxa"/>
            <w:gridSpan w:val="2"/>
            <w:shd w:val="clear" w:color="auto" w:fill="auto"/>
            <w:vAlign w:val="center"/>
          </w:tcPr>
          <w:p w14:paraId="42A3AD7E">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Pilot study summary report</w:t>
            </w:r>
          </w:p>
        </w:tc>
      </w:tr>
      <w:tr w14:paraId="0107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1636" w:hRule="atLeast"/>
        </w:trPr>
        <w:tc>
          <w:tcPr>
            <w:tcW w:w="953" w:type="dxa"/>
            <w:vMerge w:val="continue"/>
          </w:tcPr>
          <w:p w14:paraId="09EA6F98">
            <w:pPr>
              <w:rPr>
                <w:rFonts w:hint="default" w:ascii="Times New Roman" w:hAnsi="Times New Roman" w:cs="Times New Roman"/>
                <w:b w:val="0"/>
                <w:bCs w:val="0"/>
                <w:color w:val="auto"/>
                <w:sz w:val="24"/>
                <w:szCs w:val="24"/>
                <w:vertAlign w:val="baseline"/>
                <w:lang w:val="en-US"/>
              </w:rPr>
            </w:pPr>
          </w:p>
        </w:tc>
        <w:tc>
          <w:tcPr>
            <w:tcW w:w="3510" w:type="dxa"/>
            <w:vMerge w:val="continue"/>
          </w:tcPr>
          <w:p w14:paraId="5B63FCAF">
            <w:pPr>
              <w:rPr>
                <w:rFonts w:hint="default" w:ascii="Times New Roman" w:hAnsi="Times New Roman" w:cs="Times New Roman"/>
                <w:b w:val="0"/>
                <w:bCs w:val="0"/>
                <w:color w:val="auto"/>
                <w:sz w:val="24"/>
                <w:szCs w:val="24"/>
                <w:vertAlign w:val="baseline"/>
              </w:rPr>
            </w:pPr>
          </w:p>
        </w:tc>
        <w:tc>
          <w:tcPr>
            <w:tcW w:w="1449" w:type="dxa"/>
          </w:tcPr>
          <w:p w14:paraId="6CF16670">
            <w:pP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 xml:space="preserve">  12 Months</w:t>
            </w:r>
          </w:p>
        </w:tc>
        <w:tc>
          <w:tcPr>
            <w:tcW w:w="2013" w:type="dxa"/>
            <w:gridSpan w:val="2"/>
            <w:shd w:val="clear" w:color="auto" w:fill="auto"/>
            <w:vAlign w:val="center"/>
          </w:tcPr>
          <w:p w14:paraId="54D1E63C">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Primary data collection (Phase I &amp; II)</w:t>
            </w:r>
          </w:p>
        </w:tc>
        <w:tc>
          <w:tcPr>
            <w:tcW w:w="2693" w:type="dxa"/>
            <w:gridSpan w:val="2"/>
            <w:shd w:val="clear" w:color="auto" w:fill="auto"/>
            <w:vAlign w:val="center"/>
          </w:tcPr>
          <w:p w14:paraId="20EA0323">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Interim progress report</w:t>
            </w:r>
          </w:p>
        </w:tc>
      </w:tr>
      <w:tr w14:paraId="44CE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826" w:hRule="atLeast"/>
        </w:trPr>
        <w:tc>
          <w:tcPr>
            <w:tcW w:w="953" w:type="dxa"/>
            <w:vMerge w:val="continue"/>
          </w:tcPr>
          <w:p w14:paraId="7077CE09">
            <w:pPr>
              <w:rPr>
                <w:rFonts w:hint="default" w:ascii="Times New Roman" w:hAnsi="Times New Roman" w:cs="Times New Roman"/>
                <w:b w:val="0"/>
                <w:bCs w:val="0"/>
                <w:color w:val="auto"/>
                <w:sz w:val="24"/>
                <w:szCs w:val="24"/>
                <w:vertAlign w:val="baseline"/>
                <w:lang w:val="en-US"/>
              </w:rPr>
            </w:pPr>
          </w:p>
        </w:tc>
        <w:tc>
          <w:tcPr>
            <w:tcW w:w="3510" w:type="dxa"/>
            <w:vMerge w:val="continue"/>
          </w:tcPr>
          <w:p w14:paraId="75E5477D">
            <w:pPr>
              <w:rPr>
                <w:rFonts w:hint="default" w:ascii="Times New Roman" w:hAnsi="Times New Roman" w:cs="Times New Roman"/>
                <w:b w:val="0"/>
                <w:bCs w:val="0"/>
                <w:color w:val="auto"/>
                <w:sz w:val="24"/>
                <w:szCs w:val="24"/>
                <w:vertAlign w:val="baseline"/>
              </w:rPr>
            </w:pPr>
          </w:p>
        </w:tc>
        <w:tc>
          <w:tcPr>
            <w:tcW w:w="1449" w:type="dxa"/>
            <w:vMerge w:val="restart"/>
          </w:tcPr>
          <w:p w14:paraId="3969ABF0">
            <w:pPr>
              <w:rPr>
                <w:rFonts w:hint="default" w:ascii="Times New Roman" w:hAnsi="Times New Roman" w:cs="Times New Roman"/>
                <w:b w:val="0"/>
                <w:bCs w:val="0"/>
                <w:color w:val="auto"/>
                <w:sz w:val="24"/>
                <w:szCs w:val="24"/>
                <w:vertAlign w:val="baseline"/>
              </w:rPr>
            </w:pPr>
          </w:p>
        </w:tc>
        <w:tc>
          <w:tcPr>
            <w:tcW w:w="2013" w:type="dxa"/>
            <w:gridSpan w:val="2"/>
            <w:shd w:val="clear" w:color="auto" w:fill="auto"/>
            <w:vAlign w:val="center"/>
          </w:tcPr>
          <w:p w14:paraId="663EB029">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Data entry, cleaning, and coding</w:t>
            </w:r>
          </w:p>
        </w:tc>
        <w:tc>
          <w:tcPr>
            <w:tcW w:w="2693" w:type="dxa"/>
            <w:gridSpan w:val="2"/>
            <w:shd w:val="clear" w:color="auto" w:fill="auto"/>
            <w:vAlign w:val="center"/>
          </w:tcPr>
          <w:p w14:paraId="436AD972">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Cleaned dataset</w:t>
            </w:r>
          </w:p>
        </w:tc>
      </w:tr>
      <w:tr w14:paraId="55D2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1111" w:hRule="atLeast"/>
        </w:trPr>
        <w:tc>
          <w:tcPr>
            <w:tcW w:w="953" w:type="dxa"/>
            <w:vMerge w:val="continue"/>
          </w:tcPr>
          <w:p w14:paraId="397C5AF8">
            <w:pPr>
              <w:rPr>
                <w:rFonts w:hint="default" w:ascii="Times New Roman" w:hAnsi="Times New Roman" w:cs="Times New Roman"/>
                <w:b w:val="0"/>
                <w:bCs w:val="0"/>
                <w:color w:val="auto"/>
                <w:sz w:val="24"/>
                <w:szCs w:val="24"/>
                <w:vertAlign w:val="baseline"/>
                <w:lang w:val="en-US"/>
              </w:rPr>
            </w:pPr>
          </w:p>
        </w:tc>
        <w:tc>
          <w:tcPr>
            <w:tcW w:w="3510" w:type="dxa"/>
            <w:vMerge w:val="continue"/>
          </w:tcPr>
          <w:p w14:paraId="7B2B0FC8">
            <w:pPr>
              <w:rPr>
                <w:rFonts w:hint="default" w:ascii="Times New Roman" w:hAnsi="Times New Roman" w:cs="Times New Roman"/>
                <w:b w:val="0"/>
                <w:bCs w:val="0"/>
                <w:color w:val="auto"/>
                <w:sz w:val="24"/>
                <w:szCs w:val="24"/>
                <w:vertAlign w:val="baseline"/>
              </w:rPr>
            </w:pPr>
          </w:p>
        </w:tc>
        <w:tc>
          <w:tcPr>
            <w:tcW w:w="1449" w:type="dxa"/>
            <w:vMerge w:val="continue"/>
          </w:tcPr>
          <w:p w14:paraId="5374F2D4">
            <w:pPr>
              <w:rPr>
                <w:rFonts w:hint="default" w:ascii="Times New Roman" w:hAnsi="Times New Roman" w:cs="Times New Roman"/>
                <w:b w:val="0"/>
                <w:bCs w:val="0"/>
                <w:color w:val="auto"/>
                <w:sz w:val="24"/>
                <w:szCs w:val="24"/>
                <w:vertAlign w:val="baseline"/>
              </w:rPr>
            </w:pPr>
          </w:p>
        </w:tc>
        <w:tc>
          <w:tcPr>
            <w:tcW w:w="2013" w:type="dxa"/>
            <w:gridSpan w:val="2"/>
            <w:shd w:val="clear" w:color="auto" w:fill="auto"/>
            <w:vAlign w:val="center"/>
          </w:tcPr>
          <w:p w14:paraId="38783A60">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Mid-term analysis and progress review</w:t>
            </w:r>
          </w:p>
        </w:tc>
        <w:tc>
          <w:tcPr>
            <w:tcW w:w="2693" w:type="dxa"/>
            <w:gridSpan w:val="2"/>
            <w:shd w:val="clear" w:color="auto" w:fill="auto"/>
            <w:vAlign w:val="center"/>
          </w:tcPr>
          <w:p w14:paraId="04C1ADD3">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Revised tools (if needed)</w:t>
            </w:r>
          </w:p>
        </w:tc>
      </w:tr>
      <w:tr w14:paraId="61AB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871" w:hRule="atLeast"/>
        </w:trPr>
        <w:tc>
          <w:tcPr>
            <w:tcW w:w="953" w:type="dxa"/>
            <w:vMerge w:val="continue"/>
          </w:tcPr>
          <w:p w14:paraId="28F2D20C">
            <w:pPr>
              <w:rPr>
                <w:rFonts w:hint="default" w:ascii="Times New Roman" w:hAnsi="Times New Roman" w:cs="Times New Roman"/>
                <w:b w:val="0"/>
                <w:bCs w:val="0"/>
                <w:color w:val="auto"/>
                <w:sz w:val="24"/>
                <w:szCs w:val="24"/>
                <w:vertAlign w:val="baseline"/>
                <w:lang w:val="en-US"/>
              </w:rPr>
            </w:pPr>
          </w:p>
        </w:tc>
        <w:tc>
          <w:tcPr>
            <w:tcW w:w="3510" w:type="dxa"/>
          </w:tcPr>
          <w:p w14:paraId="24921983">
            <w:pPr>
              <w:rPr>
                <w:rFonts w:hint="default" w:ascii="Times New Roman" w:hAnsi="Times New Roman" w:cs="Times New Roman"/>
                <w:b w:val="0"/>
                <w:bCs w:val="0"/>
                <w:color w:val="auto"/>
                <w:sz w:val="24"/>
                <w:szCs w:val="24"/>
                <w:vertAlign w:val="baseline"/>
              </w:rPr>
            </w:pPr>
          </w:p>
        </w:tc>
        <w:tc>
          <w:tcPr>
            <w:tcW w:w="1449" w:type="dxa"/>
            <w:vMerge w:val="continue"/>
          </w:tcPr>
          <w:p w14:paraId="477A24EA">
            <w:pPr>
              <w:rPr>
                <w:rFonts w:hint="default" w:ascii="Times New Roman" w:hAnsi="Times New Roman" w:cs="Times New Roman"/>
                <w:b w:val="0"/>
                <w:bCs w:val="0"/>
                <w:color w:val="auto"/>
                <w:sz w:val="24"/>
                <w:szCs w:val="24"/>
                <w:vertAlign w:val="baseline"/>
              </w:rPr>
            </w:pPr>
          </w:p>
        </w:tc>
        <w:tc>
          <w:tcPr>
            <w:tcW w:w="2013" w:type="dxa"/>
            <w:gridSpan w:val="2"/>
            <w:shd w:val="clear" w:color="auto" w:fill="auto"/>
            <w:vAlign w:val="center"/>
          </w:tcPr>
          <w:p w14:paraId="0BE22108">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Refinement of tools/design based on initial findings</w:t>
            </w:r>
          </w:p>
        </w:tc>
        <w:tc>
          <w:tcPr>
            <w:tcW w:w="2693" w:type="dxa"/>
            <w:gridSpan w:val="2"/>
            <w:shd w:val="clear" w:color="auto" w:fill="auto"/>
            <w:vAlign w:val="center"/>
          </w:tcPr>
          <w:p w14:paraId="6F897DF2">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Preliminary analytical summary</w:t>
            </w:r>
          </w:p>
        </w:tc>
      </w:tr>
      <w:tr w14:paraId="4E75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1033" w:hRule="atLeast"/>
        </w:trPr>
        <w:tc>
          <w:tcPr>
            <w:tcW w:w="953" w:type="dxa"/>
            <w:vMerge w:val="restart"/>
          </w:tcPr>
          <w:p w14:paraId="54098F56">
            <w:pPr>
              <w:rPr>
                <w:rFonts w:hint="default" w:ascii="Times New Roman" w:hAnsi="Times New Roman" w:cs="Times New Roman"/>
                <w:b w:val="0"/>
                <w:bCs w:val="0"/>
                <w:color w:val="auto"/>
                <w:sz w:val="24"/>
                <w:szCs w:val="24"/>
                <w:vertAlign w:val="baseline"/>
              </w:rPr>
            </w:pPr>
          </w:p>
        </w:tc>
        <w:tc>
          <w:tcPr>
            <w:tcW w:w="3510" w:type="dxa"/>
            <w:vMerge w:val="restart"/>
          </w:tcPr>
          <w:p w14:paraId="16836920">
            <w:pPr>
              <w:rPr>
                <w:rFonts w:hint="default" w:ascii="Times New Roman" w:hAnsi="Times New Roman" w:cs="Times New Roman"/>
                <w:b w:val="0"/>
                <w:bCs w:val="0"/>
                <w:color w:val="auto"/>
                <w:sz w:val="24"/>
                <w:szCs w:val="24"/>
                <w:vertAlign w:val="baseline"/>
              </w:rPr>
            </w:pPr>
          </w:p>
        </w:tc>
        <w:tc>
          <w:tcPr>
            <w:tcW w:w="1458" w:type="dxa"/>
            <w:gridSpan w:val="2"/>
            <w:vMerge w:val="restart"/>
          </w:tcPr>
          <w:p w14:paraId="185FDBF3">
            <w:pPr>
              <w:rPr>
                <w:rFonts w:hint="default" w:ascii="Times New Roman" w:hAnsi="Times New Roman" w:cs="Times New Roman"/>
                <w:b w:val="0"/>
                <w:bCs w:val="0"/>
                <w:color w:val="auto"/>
                <w:sz w:val="24"/>
                <w:szCs w:val="24"/>
                <w:vertAlign w:val="baseline"/>
              </w:rPr>
            </w:pPr>
          </w:p>
          <w:p w14:paraId="2B9125AB">
            <w:pP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24 Months</w:t>
            </w:r>
          </w:p>
          <w:p w14:paraId="31CCDBD9">
            <w:pPr>
              <w:rPr>
                <w:rFonts w:hint="default" w:ascii="Times New Roman" w:hAnsi="Times New Roman" w:cs="Times New Roman"/>
                <w:b w:val="0"/>
                <w:bCs w:val="0"/>
                <w:color w:val="auto"/>
                <w:sz w:val="24"/>
                <w:szCs w:val="24"/>
                <w:vertAlign w:val="baseline"/>
              </w:rPr>
            </w:pPr>
          </w:p>
          <w:p w14:paraId="5B61FBAB">
            <w:pPr>
              <w:rPr>
                <w:rFonts w:hint="default" w:ascii="Times New Roman" w:hAnsi="Times New Roman" w:cs="Times New Roman"/>
                <w:b w:val="0"/>
                <w:bCs w:val="0"/>
                <w:color w:val="auto"/>
                <w:sz w:val="24"/>
                <w:szCs w:val="24"/>
                <w:vertAlign w:val="baseline"/>
              </w:rPr>
            </w:pPr>
          </w:p>
          <w:p w14:paraId="2122DA13">
            <w:pPr>
              <w:rPr>
                <w:rFonts w:hint="default" w:ascii="Times New Roman" w:hAnsi="Times New Roman" w:cs="Times New Roman"/>
                <w:b w:val="0"/>
                <w:bCs w:val="0"/>
                <w:color w:val="auto"/>
                <w:sz w:val="24"/>
                <w:szCs w:val="24"/>
                <w:vertAlign w:val="baseline"/>
              </w:rPr>
            </w:pPr>
          </w:p>
          <w:p w14:paraId="1C581D92">
            <w:pPr>
              <w:rPr>
                <w:rFonts w:hint="default" w:ascii="Times New Roman" w:hAnsi="Times New Roman" w:cs="Times New Roman"/>
                <w:b w:val="0"/>
                <w:bCs w:val="0"/>
                <w:color w:val="auto"/>
                <w:sz w:val="24"/>
                <w:szCs w:val="24"/>
                <w:vertAlign w:val="baseline"/>
              </w:rPr>
            </w:pPr>
          </w:p>
          <w:p w14:paraId="17BA3FD2">
            <w:pPr>
              <w:rPr>
                <w:rFonts w:hint="default" w:ascii="Times New Roman" w:hAnsi="Times New Roman" w:cs="Times New Roman"/>
                <w:b w:val="0"/>
                <w:bCs w:val="0"/>
                <w:color w:val="auto"/>
                <w:sz w:val="24"/>
                <w:szCs w:val="24"/>
                <w:vertAlign w:val="baseline"/>
              </w:rPr>
            </w:pPr>
          </w:p>
          <w:p w14:paraId="37358627">
            <w:pPr>
              <w:rPr>
                <w:rFonts w:hint="default" w:ascii="Times New Roman" w:hAnsi="Times New Roman" w:cs="Times New Roman"/>
                <w:b w:val="0"/>
                <w:bCs w:val="0"/>
                <w:color w:val="auto"/>
                <w:sz w:val="24"/>
                <w:szCs w:val="24"/>
                <w:vertAlign w:val="baseline"/>
              </w:rPr>
            </w:pPr>
          </w:p>
          <w:p w14:paraId="7576F957">
            <w:pPr>
              <w:rPr>
                <w:rFonts w:hint="default" w:ascii="Times New Roman" w:hAnsi="Times New Roman" w:cs="Times New Roman"/>
                <w:b w:val="0"/>
                <w:bCs w:val="0"/>
                <w:color w:val="auto"/>
                <w:sz w:val="24"/>
                <w:szCs w:val="24"/>
                <w:vertAlign w:val="baseline"/>
              </w:rPr>
            </w:pPr>
          </w:p>
        </w:tc>
        <w:tc>
          <w:tcPr>
            <w:tcW w:w="2009" w:type="dxa"/>
            <w:gridSpan w:val="2"/>
            <w:shd w:val="clear" w:color="auto" w:fill="auto"/>
            <w:vAlign w:val="center"/>
          </w:tcPr>
          <w:p w14:paraId="038658A8">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Final data analysis and interpretation</w:t>
            </w:r>
          </w:p>
        </w:tc>
        <w:tc>
          <w:tcPr>
            <w:tcW w:w="2688" w:type="dxa"/>
            <w:shd w:val="clear" w:color="auto" w:fill="auto"/>
            <w:vAlign w:val="center"/>
          </w:tcPr>
          <w:p w14:paraId="70AAAB54">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Final analytical and project report</w:t>
            </w:r>
          </w:p>
        </w:tc>
      </w:tr>
      <w:tr w14:paraId="1422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830" w:hRule="atLeast"/>
        </w:trPr>
        <w:tc>
          <w:tcPr>
            <w:tcW w:w="953" w:type="dxa"/>
            <w:vMerge w:val="continue"/>
          </w:tcPr>
          <w:p w14:paraId="3166F7DA">
            <w:pPr>
              <w:rPr>
                <w:rFonts w:hint="default" w:ascii="Times New Roman" w:hAnsi="Times New Roman" w:cs="Times New Roman"/>
                <w:b w:val="0"/>
                <w:bCs w:val="0"/>
                <w:color w:val="auto"/>
                <w:sz w:val="24"/>
                <w:szCs w:val="24"/>
                <w:vertAlign w:val="baseline"/>
              </w:rPr>
            </w:pPr>
          </w:p>
        </w:tc>
        <w:tc>
          <w:tcPr>
            <w:tcW w:w="3510" w:type="dxa"/>
            <w:vMerge w:val="continue"/>
          </w:tcPr>
          <w:p w14:paraId="7072F7AC">
            <w:pPr>
              <w:rPr>
                <w:rFonts w:hint="default" w:ascii="Times New Roman" w:hAnsi="Times New Roman" w:cs="Times New Roman"/>
                <w:b w:val="0"/>
                <w:bCs w:val="0"/>
                <w:color w:val="auto"/>
                <w:sz w:val="24"/>
                <w:szCs w:val="24"/>
                <w:vertAlign w:val="baseline"/>
              </w:rPr>
            </w:pPr>
          </w:p>
        </w:tc>
        <w:tc>
          <w:tcPr>
            <w:tcW w:w="1458" w:type="dxa"/>
            <w:gridSpan w:val="2"/>
            <w:vMerge w:val="continue"/>
          </w:tcPr>
          <w:p w14:paraId="46584F78">
            <w:pPr>
              <w:rPr>
                <w:rFonts w:hint="default" w:ascii="Times New Roman" w:hAnsi="Times New Roman" w:cs="Times New Roman"/>
                <w:b w:val="0"/>
                <w:bCs w:val="0"/>
                <w:color w:val="auto"/>
                <w:sz w:val="24"/>
                <w:szCs w:val="24"/>
                <w:vertAlign w:val="baseline"/>
              </w:rPr>
            </w:pPr>
          </w:p>
        </w:tc>
        <w:tc>
          <w:tcPr>
            <w:tcW w:w="2009" w:type="dxa"/>
            <w:gridSpan w:val="2"/>
            <w:shd w:val="clear" w:color="auto" w:fill="auto"/>
            <w:vAlign w:val="center"/>
          </w:tcPr>
          <w:p w14:paraId="0EC0AD9A">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Report writing and integration of findings</w:t>
            </w:r>
          </w:p>
        </w:tc>
        <w:tc>
          <w:tcPr>
            <w:tcW w:w="2688" w:type="dxa"/>
            <w:shd w:val="clear" w:color="auto" w:fill="auto"/>
            <w:vAlign w:val="center"/>
          </w:tcPr>
          <w:p w14:paraId="0D4980E1">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Policy/research recommendations</w:t>
            </w:r>
          </w:p>
        </w:tc>
      </w:tr>
      <w:tr w14:paraId="47CA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800" w:hRule="atLeast"/>
        </w:trPr>
        <w:tc>
          <w:tcPr>
            <w:tcW w:w="953" w:type="dxa"/>
            <w:vMerge w:val="continue"/>
          </w:tcPr>
          <w:p w14:paraId="360B87A3">
            <w:pPr>
              <w:rPr>
                <w:rFonts w:hint="default" w:ascii="Times New Roman" w:hAnsi="Times New Roman" w:cs="Times New Roman"/>
                <w:b w:val="0"/>
                <w:bCs w:val="0"/>
                <w:color w:val="auto"/>
                <w:sz w:val="24"/>
                <w:szCs w:val="24"/>
                <w:vertAlign w:val="baseline"/>
              </w:rPr>
            </w:pPr>
          </w:p>
        </w:tc>
        <w:tc>
          <w:tcPr>
            <w:tcW w:w="3510" w:type="dxa"/>
            <w:vMerge w:val="continue"/>
          </w:tcPr>
          <w:p w14:paraId="022EAF7E">
            <w:pPr>
              <w:rPr>
                <w:rFonts w:hint="default" w:ascii="Times New Roman" w:hAnsi="Times New Roman" w:cs="Times New Roman"/>
                <w:b w:val="0"/>
                <w:bCs w:val="0"/>
                <w:color w:val="auto"/>
                <w:sz w:val="24"/>
                <w:szCs w:val="24"/>
                <w:vertAlign w:val="baseline"/>
              </w:rPr>
            </w:pPr>
          </w:p>
        </w:tc>
        <w:tc>
          <w:tcPr>
            <w:tcW w:w="1458" w:type="dxa"/>
            <w:gridSpan w:val="2"/>
            <w:vMerge w:val="continue"/>
          </w:tcPr>
          <w:p w14:paraId="42E0BEBC">
            <w:pPr>
              <w:rPr>
                <w:rFonts w:hint="default" w:ascii="Times New Roman" w:hAnsi="Times New Roman" w:cs="Times New Roman"/>
                <w:b w:val="0"/>
                <w:bCs w:val="0"/>
                <w:color w:val="auto"/>
                <w:sz w:val="24"/>
                <w:szCs w:val="24"/>
                <w:vertAlign w:val="baseline"/>
              </w:rPr>
            </w:pPr>
          </w:p>
        </w:tc>
        <w:tc>
          <w:tcPr>
            <w:tcW w:w="2009" w:type="dxa"/>
            <w:gridSpan w:val="2"/>
            <w:shd w:val="clear" w:color="auto" w:fill="auto"/>
            <w:vAlign w:val="center"/>
          </w:tcPr>
          <w:p w14:paraId="7CD264D5">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Preparation of manuscripts for publication</w:t>
            </w:r>
          </w:p>
        </w:tc>
        <w:tc>
          <w:tcPr>
            <w:tcW w:w="2688" w:type="dxa"/>
            <w:shd w:val="clear" w:color="auto" w:fill="auto"/>
            <w:vAlign w:val="center"/>
          </w:tcPr>
          <w:p w14:paraId="7441D842">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Published papers/presentations</w:t>
            </w:r>
          </w:p>
        </w:tc>
      </w:tr>
      <w:tr w14:paraId="77C32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6" w:type="dxa"/>
          <w:trHeight w:val="1785" w:hRule="atLeast"/>
        </w:trPr>
        <w:tc>
          <w:tcPr>
            <w:tcW w:w="953" w:type="dxa"/>
            <w:vMerge w:val="continue"/>
          </w:tcPr>
          <w:p w14:paraId="7A95BD37">
            <w:pPr>
              <w:rPr>
                <w:rFonts w:hint="default" w:ascii="Times New Roman" w:hAnsi="Times New Roman" w:cs="Times New Roman"/>
                <w:b w:val="0"/>
                <w:bCs w:val="0"/>
                <w:color w:val="auto"/>
                <w:sz w:val="24"/>
                <w:szCs w:val="24"/>
                <w:vertAlign w:val="baseline"/>
              </w:rPr>
            </w:pPr>
          </w:p>
        </w:tc>
        <w:tc>
          <w:tcPr>
            <w:tcW w:w="3510" w:type="dxa"/>
            <w:vMerge w:val="continue"/>
          </w:tcPr>
          <w:p w14:paraId="4298A1A0">
            <w:pPr>
              <w:rPr>
                <w:rFonts w:hint="default" w:ascii="Times New Roman" w:hAnsi="Times New Roman" w:cs="Times New Roman"/>
                <w:b w:val="0"/>
                <w:bCs w:val="0"/>
                <w:color w:val="auto"/>
                <w:sz w:val="24"/>
                <w:szCs w:val="24"/>
                <w:vertAlign w:val="baseline"/>
              </w:rPr>
            </w:pPr>
          </w:p>
        </w:tc>
        <w:tc>
          <w:tcPr>
            <w:tcW w:w="1458" w:type="dxa"/>
            <w:gridSpan w:val="2"/>
            <w:vMerge w:val="continue"/>
          </w:tcPr>
          <w:p w14:paraId="13DAD164">
            <w:pPr>
              <w:rPr>
                <w:rFonts w:hint="default" w:ascii="Times New Roman" w:hAnsi="Times New Roman" w:cs="Times New Roman"/>
                <w:b w:val="0"/>
                <w:bCs w:val="0"/>
                <w:color w:val="auto"/>
                <w:sz w:val="24"/>
                <w:szCs w:val="24"/>
                <w:vertAlign w:val="baseline"/>
              </w:rPr>
            </w:pPr>
          </w:p>
        </w:tc>
        <w:tc>
          <w:tcPr>
            <w:tcW w:w="2009" w:type="dxa"/>
            <w:gridSpan w:val="2"/>
            <w:shd w:val="clear" w:color="auto" w:fill="auto"/>
            <w:vAlign w:val="center"/>
          </w:tcPr>
          <w:p w14:paraId="65472D44">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Submission of final project report and dissemination of outcomes</w:t>
            </w:r>
          </w:p>
        </w:tc>
        <w:tc>
          <w:tcPr>
            <w:tcW w:w="2688" w:type="dxa"/>
            <w:shd w:val="clear" w:color="auto" w:fill="auto"/>
            <w:vAlign w:val="center"/>
          </w:tcPr>
          <w:p w14:paraId="76C9B283">
            <w:pPr>
              <w:keepNext w:val="0"/>
              <w:keepLines w:val="0"/>
              <w:widowControl/>
              <w:suppressLineNumbers w:val="0"/>
              <w:jc w:val="left"/>
              <w:textAlignment w:val="center"/>
              <w:rPr>
                <w:rFonts w:hint="default" w:ascii="Times New Roman" w:hAnsi="Times New Roman" w:cs="Times New Roman" w:eastAsiaTheme="minorEastAsia"/>
                <w:b w:val="0"/>
                <w:bCs w:val="0"/>
                <w:i w:val="0"/>
                <w:iCs w:val="0"/>
                <w:color w:val="auto"/>
                <w:kern w:val="0"/>
                <w:sz w:val="24"/>
                <w:szCs w:val="24"/>
                <w:u w:val="none"/>
                <w:lang w:val="en-US" w:eastAsia="en-US" w:bidi="ar-SA"/>
                <w14:ligatures w14:val="none"/>
              </w:rPr>
            </w:pPr>
            <w:r>
              <w:rPr>
                <w:rFonts w:hint="default" w:ascii="Times New Roman" w:hAnsi="Times New Roman" w:eastAsia="SimSun" w:cs="Times New Roman"/>
                <w:b w:val="0"/>
                <w:bCs w:val="0"/>
                <w:i w:val="0"/>
                <w:iCs w:val="0"/>
                <w:color w:val="auto"/>
                <w:kern w:val="0"/>
                <w:sz w:val="24"/>
                <w:szCs w:val="24"/>
                <w:u w:val="none"/>
                <w:lang w:val="en-US" w:eastAsia="zh-CN" w:bidi="ar"/>
                <w14:ligatures w14:val="none"/>
              </w:rPr>
              <w:t>Completion certificate and submission to funding agency</w:t>
            </w:r>
          </w:p>
        </w:tc>
      </w:tr>
    </w:tbl>
    <w:p w14:paraId="47FEC999"/>
    <w:tbl>
      <w:tblPr>
        <w:tblStyle w:val="17"/>
        <w:tblpPr w:leftFromText="180" w:rightFromText="180" w:vertAnchor="text" w:tblpX="11268" w:tblpY="-28558"/>
        <w:tblOverlap w:val="never"/>
        <w:tblW w:w="17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tblGrid>
      <w:tr w14:paraId="5897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1741" w:type="dxa"/>
          </w:tcPr>
          <w:p w14:paraId="7F9F2AB2">
            <w:pPr>
              <w:rPr>
                <w:vertAlign w:val="baseline"/>
              </w:rPr>
            </w:pPr>
          </w:p>
        </w:tc>
      </w:tr>
    </w:tbl>
    <w:p w14:paraId="3072D3D0"/>
    <w:tbl>
      <w:tblPr>
        <w:tblStyle w:val="17"/>
        <w:tblpPr w:leftFromText="180" w:rightFromText="180" w:vertAnchor="text" w:tblpX="11268" w:tblpY="-28558"/>
        <w:tblOverlap w:val="never"/>
        <w:tblW w:w="17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tblGrid>
      <w:tr w14:paraId="75DF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 w:hRule="atLeast"/>
        </w:trPr>
        <w:tc>
          <w:tcPr>
            <w:tcW w:w="1741" w:type="dxa"/>
          </w:tcPr>
          <w:p w14:paraId="72E49AD5">
            <w:pPr>
              <w:rPr>
                <w:vertAlign w:val="baseline"/>
              </w:rPr>
            </w:pPr>
          </w:p>
        </w:tc>
      </w:tr>
    </w:tbl>
    <w:p w14:paraId="6FCF5FF3"/>
    <w:tbl>
      <w:tblPr>
        <w:tblStyle w:val="17"/>
        <w:tblpPr w:leftFromText="180" w:rightFromText="180" w:vertAnchor="text" w:tblpX="11268" w:tblpY="-28558"/>
        <w:tblOverlap w:val="never"/>
        <w:tblW w:w="17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tblGrid>
      <w:tr w14:paraId="35D8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1741" w:type="dxa"/>
          </w:tcPr>
          <w:p w14:paraId="19D799E2">
            <w:pPr>
              <w:rPr>
                <w:vertAlign w:val="baseline"/>
              </w:rPr>
            </w:pPr>
          </w:p>
        </w:tc>
      </w:tr>
    </w:tbl>
    <w:p w14:paraId="0E940E01"/>
    <w:tbl>
      <w:tblPr>
        <w:tblStyle w:val="17"/>
        <w:tblpPr w:leftFromText="180" w:rightFromText="180" w:vertAnchor="text" w:tblpX="11268" w:tblpY="-28558"/>
        <w:tblOverlap w:val="never"/>
        <w:tblW w:w="17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tblGrid>
      <w:tr w14:paraId="70BB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 w:hRule="atLeast"/>
        </w:trPr>
        <w:tc>
          <w:tcPr>
            <w:tcW w:w="1741" w:type="dxa"/>
          </w:tcPr>
          <w:p w14:paraId="72EF5A03">
            <w:pPr>
              <w:rPr>
                <w:vertAlign w:val="baseline"/>
              </w:rPr>
            </w:pPr>
          </w:p>
        </w:tc>
      </w:tr>
    </w:tbl>
    <w:p w14:paraId="05295636"/>
    <w:tbl>
      <w:tblPr>
        <w:tblStyle w:val="17"/>
        <w:tblpPr w:leftFromText="180" w:rightFromText="180" w:vertAnchor="text" w:tblpX="-2411" w:tblpY="31368"/>
        <w:tblOverlap w:val="never"/>
        <w:tblW w:w="1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tblGrid>
      <w:tr w14:paraId="482A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1440" w:type="dxa"/>
          </w:tcPr>
          <w:p w14:paraId="4C3FB3E8">
            <w:pPr>
              <w:rPr>
                <w:vertAlign w:val="baseline"/>
              </w:rPr>
            </w:pPr>
          </w:p>
        </w:tc>
      </w:tr>
    </w:tbl>
    <w:p w14:paraId="4AC74EEA"/>
    <w:tbl>
      <w:tblPr>
        <w:tblStyle w:val="17"/>
        <w:tblpPr w:leftFromText="180" w:rightFromText="180" w:vertAnchor="text" w:tblpX="-2411" w:tblpY="31368"/>
        <w:tblOverlap w:val="never"/>
        <w:tblW w:w="1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tblGrid>
      <w:tr w14:paraId="3AFA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1440" w:type="dxa"/>
          </w:tcPr>
          <w:p w14:paraId="24515612">
            <w:pPr>
              <w:rPr>
                <w:vertAlign w:val="baseline"/>
              </w:rPr>
            </w:pPr>
          </w:p>
        </w:tc>
      </w:tr>
    </w:tbl>
    <w:p w14:paraId="4EA172A0"/>
    <w:tbl>
      <w:tblPr>
        <w:tblStyle w:val="17"/>
        <w:tblpPr w:leftFromText="180" w:rightFromText="180" w:vertAnchor="text" w:tblpX="-2411" w:tblpY="31368"/>
        <w:tblOverlap w:val="never"/>
        <w:tblW w:w="1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tblGrid>
      <w:tr w14:paraId="5381F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1440" w:type="dxa"/>
          </w:tcPr>
          <w:p w14:paraId="52DB519A">
            <w:pPr>
              <w:rPr>
                <w:vertAlign w:val="baseline"/>
              </w:rPr>
            </w:pPr>
          </w:p>
        </w:tc>
      </w:tr>
    </w:tbl>
    <w:p w14:paraId="4B1C2AFA"/>
    <w:tbl>
      <w:tblPr>
        <w:tblStyle w:val="17"/>
        <w:tblpPr w:leftFromText="180" w:rightFromText="180" w:vertAnchor="text" w:tblpX="-2096" w:tblpY="-31678"/>
        <w:tblOverlap w:val="never"/>
        <w:tblW w:w="11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5"/>
      </w:tblGrid>
      <w:tr w14:paraId="0735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1125" w:type="dxa"/>
          </w:tcPr>
          <w:p w14:paraId="72675BB6">
            <w:pPr>
              <w:rPr>
                <w:rFonts w:ascii="Times New Roman" w:hAnsi="Times New Roman" w:cs="Times New Roman"/>
                <w:vertAlign w:val="baseline"/>
              </w:rPr>
            </w:pPr>
          </w:p>
        </w:tc>
      </w:tr>
    </w:tbl>
    <w:p w14:paraId="3E07DE00">
      <w:pPr>
        <w:rPr>
          <w:rFonts w:ascii="Times New Roman" w:hAnsi="Times New Roman" w:cs="Times New Roman"/>
        </w:rPr>
      </w:pPr>
    </w:p>
    <w:p w14:paraId="5F2F5C48">
      <w:pPr>
        <w:rPr>
          <w:rFonts w:ascii="Times New Roman" w:hAnsi="Times New Roman" w:cs="Times New Roman"/>
        </w:rPr>
      </w:pPr>
    </w:p>
    <w:p w14:paraId="7A2C06CF">
      <w:pPr>
        <w:rPr>
          <w:rFonts w:ascii="Times New Roman" w:hAnsi="Times New Roman" w:cs="Times New Roman"/>
        </w:rPr>
      </w:pPr>
    </w:p>
    <w:p w14:paraId="5F4466B0">
      <w:pPr>
        <w:rPr>
          <w:rFonts w:ascii="Times New Roman" w:hAnsi="Times New Roman" w:cs="Times New Roman"/>
        </w:rPr>
      </w:pPr>
    </w:p>
    <w:p w14:paraId="0920DBCD">
      <w:pPr>
        <w:rPr>
          <w:rFonts w:ascii="Times New Roman" w:hAnsi="Times New Roman" w:cs="Times New Roman"/>
        </w:rPr>
      </w:pPr>
    </w:p>
    <w:p w14:paraId="7C93138C">
      <w:pPr>
        <w:rPr>
          <w:rFonts w:ascii="Times New Roman" w:hAnsi="Times New Roman" w:cs="Times New Roman"/>
        </w:rPr>
      </w:pPr>
    </w:p>
    <w:p w14:paraId="572E84CD">
      <w:pPr>
        <w:rPr>
          <w:rFonts w:ascii="Times New Roman" w:hAnsi="Times New Roman" w:cs="Times New Roman"/>
        </w:rPr>
      </w:pPr>
    </w:p>
    <w:p w14:paraId="69606DB0">
      <w:pPr>
        <w:rPr>
          <w:rFonts w:ascii="Times New Roman" w:hAnsi="Times New Roman" w:cs="Times New Roman"/>
        </w:rPr>
      </w:pPr>
    </w:p>
    <w:p w14:paraId="46B816F3">
      <w:pPr>
        <w:rPr>
          <w:rFonts w:ascii="Times New Roman" w:hAnsi="Times New Roman" w:cs="Times New Roman"/>
        </w:rPr>
      </w:pPr>
    </w:p>
    <w:sectPr>
      <w:pgSz w:w="12240" w:h="15840"/>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B57DE9"/>
    <w:multiLevelType w:val="singleLevel"/>
    <w:tmpl w:val="A6B57D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8FEDC5C"/>
    <w:multiLevelType w:val="singleLevel"/>
    <w:tmpl w:val="48FEDC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5FD1BD2"/>
    <w:multiLevelType w:val="singleLevel"/>
    <w:tmpl w:val="55FD1B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61A3312"/>
    <w:multiLevelType w:val="multilevel"/>
    <w:tmpl w:val="661A331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61EF0A4"/>
    <w:multiLevelType w:val="singleLevel"/>
    <w:tmpl w:val="761EF0A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65D"/>
    <w:rsid w:val="000B69F5"/>
    <w:rsid w:val="00111D51"/>
    <w:rsid w:val="0019312F"/>
    <w:rsid w:val="0020643C"/>
    <w:rsid w:val="0023055E"/>
    <w:rsid w:val="00283C9A"/>
    <w:rsid w:val="00421ED4"/>
    <w:rsid w:val="004A311F"/>
    <w:rsid w:val="004E139A"/>
    <w:rsid w:val="0052729D"/>
    <w:rsid w:val="005C323D"/>
    <w:rsid w:val="00723576"/>
    <w:rsid w:val="008B47BA"/>
    <w:rsid w:val="009503CD"/>
    <w:rsid w:val="009F2308"/>
    <w:rsid w:val="00A268E4"/>
    <w:rsid w:val="00A85B92"/>
    <w:rsid w:val="00AB4E02"/>
    <w:rsid w:val="00B5365D"/>
    <w:rsid w:val="00BC499D"/>
    <w:rsid w:val="00CB6705"/>
    <w:rsid w:val="00E93268"/>
    <w:rsid w:val="00ED69CB"/>
    <w:rsid w:val="00F83301"/>
    <w:rsid w:val="01550EAF"/>
    <w:rsid w:val="046A0B71"/>
    <w:rsid w:val="04786A62"/>
    <w:rsid w:val="0F6A1C00"/>
    <w:rsid w:val="127C65E2"/>
    <w:rsid w:val="16980F69"/>
    <w:rsid w:val="1A2950FA"/>
    <w:rsid w:val="1A5F5B2C"/>
    <w:rsid w:val="1C7A3345"/>
    <w:rsid w:val="1FB5017E"/>
    <w:rsid w:val="23FE4604"/>
    <w:rsid w:val="294745B9"/>
    <w:rsid w:val="2F8F75C8"/>
    <w:rsid w:val="339C095C"/>
    <w:rsid w:val="3F0F0BE5"/>
    <w:rsid w:val="3F611634"/>
    <w:rsid w:val="425F4FF1"/>
    <w:rsid w:val="4E6423A8"/>
    <w:rsid w:val="4EFD4B25"/>
    <w:rsid w:val="51C50EBC"/>
    <w:rsid w:val="51F82860"/>
    <w:rsid w:val="57FF4E8C"/>
    <w:rsid w:val="593A1913"/>
    <w:rsid w:val="5953349B"/>
    <w:rsid w:val="5A35677E"/>
    <w:rsid w:val="5FA17706"/>
    <w:rsid w:val="64733A58"/>
    <w:rsid w:val="649339BD"/>
    <w:rsid w:val="68B150D2"/>
    <w:rsid w:val="6D5E2272"/>
    <w:rsid w:val="6E3D10DD"/>
    <w:rsid w:val="7BC1743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59"/>
    <w:pPr>
      <w:spacing w:after="0" w:line="240" w:lineRule="auto"/>
    </w:pPr>
    <w:rPr>
      <w:rFonts w:eastAsiaTheme="minorEastAsia"/>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33</Pages>
  <Words>331</Words>
  <Characters>1891</Characters>
  <Lines>15</Lines>
  <Paragraphs>4</Paragraphs>
  <TotalTime>56</TotalTime>
  <ScaleCrop>false</ScaleCrop>
  <LinksUpToDate>false</LinksUpToDate>
  <CharactersWithSpaces>2218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2025-09-11T11:32:00Z</dcterms:created>
  <dc:creator>icssr</dc:creator>
  <cp:lastModifiedBy>Jyoti Kanoujiya</cp:lastModifiedBy>
  <dcterms:modified xsi:type="dcterms:W3CDTF">2025-11-01T09:13:11Z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3C930464D65F4DF99817A51787DB80AF_13</vt:lpwstr>
  </property>
</Properties>
</file>