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Geldium Finance | Collections Strategy Brief</w:t>
      </w:r>
    </w:p>
    <w:p>
      <w:r>
        <w:rPr>
          <w:b/>
          <w:sz w:val="18"/>
        </w:rPr>
        <w:t>To: Head of Collections  |  From: Tata iQ Analytics  |  Subject: Turning delinquency insights into responsible action</w:t>
      </w:r>
    </w:p>
    <w:p>
      <w:pPr>
        <w:pStyle w:val="Heading1"/>
      </w:pPr>
      <w:r>
        <w:t>Executive summary</w:t>
      </w:r>
    </w:p>
    <w:p>
      <w:r>
        <w:t>Geldium’s preliminary dataset indicates that 16% of the 500 customer records are labelled delinquent. This is a meaningful operational signal, but it is not yet a validated forecast of future missed payments. The Task 2 work established a conceptual modelling approach—not a trained model with confirmed performance. The recommended next step is to improve data consistency, validate a transparent baseline model, and pilot risk-tiered outreach with human oversight before using model scores to guide live collections decisions.</w:t>
      </w:r>
    </w:p>
    <w:p>
      <w:pPr>
        <w:pStyle w:val="Heading1"/>
      </w:pPr>
      <w:r>
        <w:t>What the data tells us—and what it does not</w:t>
      </w:r>
    </w:p>
    <w:p>
      <w:r>
        <w:t>The current extract contains 500 records and a delinquency label for analysis. Approximately 16% are labelled delinquent. This describes the dataset; it does not establish the rate in Geldium’s wider customer population or prove that any particular feature causes delinquency.</w:t>
      </w:r>
    </w:p>
    <w:p>
      <w:r>
        <w:t>Data readiness needs attention before the team relies on model outputs: Income is missing for 39 records (7.8%), Loan_Balance for 29 (5.8%), and Credit_Score for 2 (0.4%). Employment_Status includes inconsistent labels (for example, variations in capitalization/abbreviation), and the scale convention for Credit_Utilization must be clarified. These issues can distort comparisons and model predictions if left unresolved.</w:t>
      </w:r>
    </w:p>
    <w:p>
      <w:r>
        <w:t>Payment history (Month_1–Month_6), Missed_Payments, Credit_Utilization, Debt_to_Income_Ratio, and Credit_Score are reasonable candidate signals to test because they relate to payment behaviour or repayment capacity. They should not be described as the strongest risk factors until feature analysis and out-of-sample validation confirm their predictive value. In particular, only use information that would have been available at the time the prediction is made; otherwise, the model may leak future information into training.</w:t>
      </w:r>
    </w:p>
    <w:p>
      <w:pPr>
        <w:pStyle w:val="Heading1"/>
      </w:pPr>
      <w:r>
        <w:t>Recommended customer-segment strategy</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Proposed segment</w:t>
            </w:r>
          </w:p>
        </w:tc>
        <w:tc>
          <w:tcPr>
            <w:tcW w:type="dxa" w:w="3389"/>
          </w:tcPr>
          <w:p>
            <w:r>
              <w:t>Recommended action</w:t>
            </w:r>
          </w:p>
        </w:tc>
        <w:tc>
          <w:tcPr>
            <w:tcW w:type="dxa" w:w="3389"/>
          </w:tcPr>
          <w:p>
            <w:r>
              <w:t>Business rationale</w:t>
            </w:r>
          </w:p>
        </w:tc>
      </w:tr>
      <w:tr>
        <w:tc>
          <w:tcPr>
            <w:tcW w:type="dxa" w:w="3389"/>
          </w:tcPr>
          <w:p>
            <w:pPr>
              <w:spacing w:after="40"/>
            </w:pPr>
            <w:r>
              <w:rPr>
                <w:sz w:val="17"/>
              </w:rPr>
              <w:t>Lower indicated risk</w:t>
            </w:r>
          </w:p>
        </w:tc>
        <w:tc>
          <w:tcPr>
            <w:tcW w:type="dxa" w:w="3389"/>
          </w:tcPr>
          <w:p>
            <w:pPr>
              <w:spacing w:after="40"/>
            </w:pPr>
            <w:r>
              <w:rPr>
                <w:sz w:val="17"/>
              </w:rPr>
              <w:t>Continue standard reminders and make payment information and self-service options easy to access.</w:t>
            </w:r>
          </w:p>
        </w:tc>
        <w:tc>
          <w:tcPr>
            <w:tcW w:type="dxa" w:w="3389"/>
          </w:tcPr>
          <w:p>
            <w:pPr>
              <w:spacing w:after="40"/>
            </w:pPr>
            <w:r>
              <w:rPr>
                <w:sz w:val="17"/>
              </w:rPr>
              <w:t>Maintains coverage without spending intensive staff time where it may not be needed.</w:t>
            </w:r>
          </w:p>
        </w:tc>
      </w:tr>
      <w:tr>
        <w:tc>
          <w:tcPr>
            <w:tcW w:type="dxa" w:w="3389"/>
          </w:tcPr>
          <w:p>
            <w:pPr>
              <w:spacing w:after="40"/>
            </w:pPr>
            <w:r>
              <w:rPr>
                <w:sz w:val="17"/>
              </w:rPr>
              <w:t>Moderate indicated risk</w:t>
            </w:r>
          </w:p>
        </w:tc>
        <w:tc>
          <w:tcPr>
            <w:tcW w:type="dxa" w:w="3389"/>
          </w:tcPr>
          <w:p>
            <w:pPr>
              <w:spacing w:after="40"/>
            </w:pPr>
            <w:r>
              <w:rPr>
                <w:sz w:val="17"/>
              </w:rPr>
              <w:t>Offer earlier reminders, convenient payment-date options, and voluntary repayment-plan information.</w:t>
            </w:r>
          </w:p>
        </w:tc>
        <w:tc>
          <w:tcPr>
            <w:tcW w:type="dxa" w:w="3389"/>
          </w:tcPr>
          <w:p>
            <w:pPr>
              <w:spacing w:after="40"/>
            </w:pPr>
            <w:r>
              <w:rPr>
                <w:sz w:val="17"/>
              </w:rPr>
              <w:t>Creates an opportunity to resolve emerging payment difficulty before it escalates.</w:t>
            </w:r>
          </w:p>
        </w:tc>
      </w:tr>
      <w:tr>
        <w:tc>
          <w:tcPr>
            <w:tcW w:type="dxa" w:w="3389"/>
          </w:tcPr>
          <w:p>
            <w:pPr>
              <w:spacing w:after="40"/>
            </w:pPr>
            <w:r>
              <w:rPr>
                <w:sz w:val="17"/>
              </w:rPr>
              <w:t>Higher indicated risk</w:t>
            </w:r>
          </w:p>
        </w:tc>
        <w:tc>
          <w:tcPr>
            <w:tcW w:type="dxa" w:w="3389"/>
          </w:tcPr>
          <w:p>
            <w:pPr>
              <w:spacing w:after="40"/>
            </w:pPr>
            <w:r>
              <w:rPr>
                <w:sz w:val="17"/>
              </w:rPr>
              <w:t>Prioritise timely, respectful human outreach to understand circumstances and discuss suitable repayment arrangements.</w:t>
            </w:r>
          </w:p>
        </w:tc>
        <w:tc>
          <w:tcPr>
            <w:tcW w:type="dxa" w:w="3389"/>
          </w:tcPr>
          <w:p>
            <w:pPr>
              <w:spacing w:after="40"/>
            </w:pPr>
            <w:r>
              <w:rPr>
                <w:sz w:val="17"/>
              </w:rPr>
              <w:t>Focuses specialist capacity on cases that may need more support, while avoiding automatic punitive treatment.</w:t>
            </w:r>
          </w:p>
        </w:tc>
      </w:tr>
    </w:tbl>
    <w:p>
      <w:r>
        <w:t>These are proposed operating segments, not customer classifications already produced by a validated model. Set thresholds using validation results and Collections capacity, then test the approach in a controlled pilot. Do not deny options, increase pressure, or make adverse decisions solely because a customer receives a high-risk score.</w:t>
      </w:r>
    </w:p>
    <w:p>
      <w:pPr>
        <w:pStyle w:val="Heading1"/>
      </w:pPr>
      <w:r>
        <w:t>Action plan for Collections</w:t>
      </w:r>
    </w:p>
    <w:p>
      <w:pPr>
        <w:pStyle w:val="ListNumber"/>
      </w:pPr>
      <w:r>
        <w:rPr>
          <w:b/>
        </w:rPr>
        <w:t xml:space="preserve">1. Make the data dependable. </w:t>
      </w:r>
      <w:r>
        <w:t>Standardise category labels, confirm Credit_Utilization units, investigate missing values, and document how each field is defined.</w:t>
      </w:r>
    </w:p>
    <w:p>
      <w:pPr>
        <w:pStyle w:val="ListNumber"/>
      </w:pPr>
      <w:r>
        <w:rPr>
          <w:b/>
        </w:rPr>
        <w:t xml:space="preserve">2. Validate before deployment. </w:t>
      </w:r>
      <w:r>
        <w:t>Compare logistic regression as an interpretable baseline with a decision tree. Use a stratified holdout set and report precision, recall, F1, ROC-AUC, and a confusion matrix; accuracy alone can be misleading when only 16% of records are positive.</w:t>
      </w:r>
    </w:p>
    <w:p>
      <w:pPr>
        <w:pStyle w:val="ListNumber"/>
      </w:pPr>
      <w:r>
        <w:rPr>
          <w:b/>
        </w:rPr>
        <w:t xml:space="preserve">3. Pilot targeted outreach. </w:t>
      </w:r>
      <w:r>
        <w:t>Run a limited, time-bound pilot with agreed risk tiers, consistent treatment rules, staff training, and a comparison group where operationally appropriate.</w:t>
      </w:r>
    </w:p>
    <w:p>
      <w:pPr>
        <w:pStyle w:val="ListNumber"/>
      </w:pPr>
      <w:r>
        <w:rPr>
          <w:b/>
        </w:rPr>
        <w:t xml:space="preserve">4. Monitor outcomes and revise. </w:t>
      </w:r>
      <w:r>
        <w:t>Track contact success, cure rate, roll rates into deeper delinquency, customer complaints, repayment-plan uptake, and staff workload. Reassess performance and thresholds regularly.</w:t>
      </w:r>
    </w:p>
    <w:p>
      <w:pPr>
        <w:pStyle w:val="Heading1"/>
      </w:pPr>
      <w:r>
        <w:t>Responsible AI, fairness, and explainability</w:t>
      </w:r>
    </w:p>
    <w:p>
      <w:r>
        <w:t>Collections decisions affect customers’ financial wellbeing, so a score should support—not replace—professional judgement. Explain recommendations using understandable factors and maintain a record of the model version, data used, score, and action taken. Check whether error rates and intervention outcomes differ across relevant customer groups, where lawful and appropriate, and investigate whether missing data or proxy variables create unfair outcomes. Restrict access to personal data, use approved systems, and provide a clear route for staff to question a prediction or escalate a case. Treat customers respectfully and offer appropriate support based on their circumstances.</w:t>
      </w:r>
    </w:p>
    <w:p>
      <w:pPr>
        <w:pStyle w:val="Heading1"/>
      </w:pPr>
      <w:r>
        <w:t>Decision requested</w:t>
      </w:r>
    </w:p>
    <w:p>
      <w:r>
        <w:t>Approve a data-quality and model-validation phase followed by a controlled collections pilot—not immediate full deployment. The team should proceed to live use only after performance, fairness, explainability, and operational impact meet agreed acceptance criteria. At this stage, no model accuracy or lift is claimed because no validated performance results were supplied.</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Geldium Finance | Preliminary decision-support report | Validate before operational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C3E5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4F6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E5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