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8FFE2" w14:textId="77777777" w:rsidR="00156100" w:rsidRDefault="008B4595">
      <w:pPr>
        <w:pStyle w:val="Title"/>
      </w:pPr>
      <w:r>
        <w:t>Model Evaluation &amp; Comparative Analysis: Network Congestion Prediction</w:t>
      </w:r>
    </w:p>
    <w:p w14:paraId="1429C4BE" w14:textId="77777777" w:rsidR="00A139C8" w:rsidRDefault="00A139C8">
      <w:pPr>
        <w:rPr>
          <w:b/>
        </w:rPr>
      </w:pPr>
    </w:p>
    <w:p w14:paraId="561ADD71" w14:textId="20A279DD" w:rsidR="00156100" w:rsidRDefault="008B4595">
      <w:r>
        <w:rPr>
          <w:b/>
        </w:rPr>
        <w:t xml:space="preserve">Overview: </w:t>
      </w:r>
      <w:r>
        <w:t xml:space="preserve">This report compares five computational models that try to </w:t>
      </w:r>
      <w:r>
        <w:t>predict network congestion. Each model was trained on a UDP-burst congestion scenario (sudden bursts of traffic) and then tested out-of-distribution on an unseen gradual-ramp scenario (traffic that slowly increases). Testing on a scenario the models have n</w:t>
      </w:r>
      <w:r>
        <w:t>ever seen shows which ones truly understand congestion and which ones only memorized the training data. The comparison explains why each model is used or avoided.</w:t>
      </w:r>
    </w:p>
    <w:p w14:paraId="5FAE1ACE" w14:textId="2B4F28C3" w:rsidR="00156100" w:rsidRDefault="008B4595">
      <w:r>
        <w:rPr>
          <w:b/>
        </w:rPr>
        <w:t xml:space="preserve">In simple terms: </w:t>
      </w:r>
      <w:r>
        <w:t>Each model is judged on two tasks: (1) an early-warning alarm, a yes/no pred</w:t>
      </w:r>
      <w:r>
        <w:t>iction of whether congestion is coming, and (2) a latency forecast, a prediction of the actual delay value. No single model wins both tasks, so we recommend a hybrid model that combines the strengths of two of them</w:t>
      </w:r>
    </w:p>
    <w:p w14:paraId="088D25E2" w14:textId="77777777" w:rsidR="00156100" w:rsidRDefault="008B4595">
      <w:pPr>
        <w:keepNext/>
      </w:pPr>
      <w:r>
        <w:t>The terms below are used throughout the report.</w:t>
      </w:r>
    </w:p>
    <w:tbl>
      <w:tblPr>
        <w:tblStyle w:val="TableGrid"/>
        <w:tblW w:w="92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480"/>
      </w:tblGrid>
      <w:tr w:rsidR="00156100" w14:paraId="7B270EF2" w14:textId="77777777" w:rsidTr="00C550D7">
        <w:tc>
          <w:tcPr>
            <w:tcW w:w="2736" w:type="dxa"/>
          </w:tcPr>
          <w:p w14:paraId="29F2FD2F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UE (User Equipment)</w:t>
            </w:r>
          </w:p>
        </w:tc>
        <w:tc>
          <w:tcPr>
            <w:tcW w:w="6480" w:type="dxa"/>
          </w:tcPr>
          <w:p w14:paraId="69E7C2BF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A device, such as a phone, that connects to the network.</w:t>
            </w:r>
          </w:p>
        </w:tc>
      </w:tr>
      <w:tr w:rsidR="00156100" w14:paraId="210F36C2" w14:textId="77777777" w:rsidTr="00C550D7">
        <w:tc>
          <w:tcPr>
            <w:tcW w:w="2736" w:type="dxa"/>
          </w:tcPr>
          <w:p w14:paraId="247559E5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Cell</w:t>
            </w:r>
          </w:p>
        </w:tc>
        <w:tc>
          <w:tcPr>
            <w:tcW w:w="6480" w:type="dxa"/>
          </w:tcPr>
          <w:p w14:paraId="450662F5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The area covered by one base station. Devices in the same cell share its radio resources, so they can compete with e</w:t>
            </w:r>
            <w:r>
              <w:rPr>
                <w:sz w:val="22"/>
              </w:rPr>
              <w:t>ach other.</w:t>
            </w:r>
          </w:p>
        </w:tc>
      </w:tr>
      <w:tr w:rsidR="00156100" w14:paraId="515FA20F" w14:textId="77777777" w:rsidTr="00C550D7">
        <w:tc>
          <w:tcPr>
            <w:tcW w:w="2736" w:type="dxa"/>
          </w:tcPr>
          <w:p w14:paraId="5FB47D93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Latency</w:t>
            </w:r>
          </w:p>
        </w:tc>
        <w:tc>
          <w:tcPr>
            <w:tcW w:w="6480" w:type="dxa"/>
          </w:tcPr>
          <w:p w14:paraId="2A426D16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The delay before data arrives. Higher latency means a slower, more congested network.</w:t>
            </w:r>
          </w:p>
        </w:tc>
      </w:tr>
      <w:tr w:rsidR="00156100" w14:paraId="0D390FE7" w14:textId="77777777" w:rsidTr="00C550D7">
        <w:tc>
          <w:tcPr>
            <w:tcW w:w="2736" w:type="dxa"/>
          </w:tcPr>
          <w:p w14:paraId="5CD8F4B6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Alarm (binary early warning)</w:t>
            </w:r>
          </w:p>
        </w:tc>
        <w:tc>
          <w:tcPr>
            <w:tcW w:w="6480" w:type="dxa"/>
          </w:tcPr>
          <w:p w14:paraId="0A30CD1A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A yes/no prediction of whether congestion is about to happen.</w:t>
            </w:r>
          </w:p>
        </w:tc>
      </w:tr>
      <w:tr w:rsidR="00156100" w14:paraId="2AC27FBD" w14:textId="77777777" w:rsidTr="00C550D7">
        <w:tc>
          <w:tcPr>
            <w:tcW w:w="2736" w:type="dxa"/>
          </w:tcPr>
          <w:p w14:paraId="6123BFE5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Latency forecast</w:t>
            </w:r>
          </w:p>
        </w:tc>
        <w:tc>
          <w:tcPr>
            <w:tcW w:w="6480" w:type="dxa"/>
          </w:tcPr>
          <w:p w14:paraId="3385B020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 xml:space="preserve">A prediction of the actual </w:t>
            </w:r>
            <w:r>
              <w:rPr>
                <w:sz w:val="22"/>
              </w:rPr>
              <w:t>latency number for the near future.</w:t>
            </w:r>
          </w:p>
        </w:tc>
      </w:tr>
      <w:tr w:rsidR="00156100" w14:paraId="39614420" w14:textId="77777777" w:rsidTr="00C550D7">
        <w:tc>
          <w:tcPr>
            <w:tcW w:w="2736" w:type="dxa"/>
          </w:tcPr>
          <w:p w14:paraId="02AB2D69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HARQ retransmission</w:t>
            </w:r>
          </w:p>
        </w:tc>
        <w:tc>
          <w:tcPr>
            <w:tcW w:w="6480" w:type="dxa"/>
          </w:tcPr>
          <w:p w14:paraId="7BF9CE03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How often the radio link has to resend data that arrived with errors. It rises when the network is stressed.</w:t>
            </w:r>
          </w:p>
        </w:tc>
      </w:tr>
      <w:tr w:rsidR="00156100" w14:paraId="2C4D0A66" w14:textId="77777777" w:rsidTr="00C550D7">
        <w:tc>
          <w:tcPr>
            <w:tcW w:w="2736" w:type="dxa"/>
          </w:tcPr>
          <w:p w14:paraId="637F53EB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ROC-AUC (alarm quality)</w:t>
            </w:r>
          </w:p>
        </w:tc>
        <w:tc>
          <w:tcPr>
            <w:tcW w:w="6480" w:type="dxa"/>
          </w:tcPr>
          <w:p w14:paraId="26C34579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 xml:space="preserve">How well the model separates congested moments from normal </w:t>
            </w:r>
            <w:r>
              <w:rPr>
                <w:sz w:val="22"/>
              </w:rPr>
              <w:t>ones. 0.5 is random guessing; 1.0 is perfect.</w:t>
            </w:r>
          </w:p>
        </w:tc>
      </w:tr>
      <w:tr w:rsidR="00156100" w14:paraId="1847D519" w14:textId="77777777" w:rsidTr="00C550D7">
        <w:tc>
          <w:tcPr>
            <w:tcW w:w="2736" w:type="dxa"/>
          </w:tcPr>
          <w:p w14:paraId="2294C3EC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F1 score (alarm quality)</w:t>
            </w:r>
          </w:p>
        </w:tc>
        <w:tc>
          <w:tcPr>
            <w:tcW w:w="6480" w:type="dxa"/>
          </w:tcPr>
          <w:p w14:paraId="402CF88B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A balance between catching real congestion and avoiding false alarms. 0 is worst; 1.0 is perfect.</w:t>
            </w:r>
          </w:p>
        </w:tc>
      </w:tr>
      <w:tr w:rsidR="00156100" w14:paraId="6D230339" w14:textId="77777777" w:rsidTr="00C550D7">
        <w:tc>
          <w:tcPr>
            <w:tcW w:w="2736" w:type="dxa"/>
          </w:tcPr>
          <w:p w14:paraId="16C6E971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R² (forecast quality)</w:t>
            </w:r>
          </w:p>
        </w:tc>
        <w:tc>
          <w:tcPr>
            <w:tcW w:w="6480" w:type="dxa"/>
          </w:tcPr>
          <w:p w14:paraId="67F640DB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 xml:space="preserve">How close the predicted numbers are to the real ones. 1.0 is </w:t>
            </w:r>
            <w:r>
              <w:rPr>
                <w:sz w:val="22"/>
              </w:rPr>
              <w:t>perfect; 0 means no better than always guessing the average; a negative value means worse than guessing the average.</w:t>
            </w:r>
          </w:p>
        </w:tc>
      </w:tr>
      <w:tr w:rsidR="00156100" w14:paraId="25A12526" w14:textId="77777777" w:rsidTr="00C550D7">
        <w:tc>
          <w:tcPr>
            <w:tcW w:w="2736" w:type="dxa"/>
          </w:tcPr>
          <w:p w14:paraId="733F9099" w14:textId="77777777" w:rsidR="00156100" w:rsidRDefault="008B4595">
            <w:pPr>
              <w:spacing w:after="0" w:line="240" w:lineRule="auto"/>
            </w:pPr>
            <w:r>
              <w:rPr>
                <w:b/>
                <w:sz w:val="22"/>
              </w:rPr>
              <w:t>Out-of-distribution test</w:t>
            </w:r>
          </w:p>
        </w:tc>
        <w:tc>
          <w:tcPr>
            <w:tcW w:w="6480" w:type="dxa"/>
          </w:tcPr>
          <w:p w14:paraId="689B3730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Testing on a scenario that was not in the training data, to check whether a model generalizes.</w:t>
            </w:r>
          </w:p>
        </w:tc>
      </w:tr>
    </w:tbl>
    <w:p w14:paraId="1368E6EE" w14:textId="77777777" w:rsidR="00846AD1" w:rsidRDefault="00846AD1" w:rsidP="00846AD1">
      <w:pPr>
        <w:pStyle w:val="Heading1"/>
      </w:pPr>
    </w:p>
    <w:p w14:paraId="7361E05B" w14:textId="77777777" w:rsidR="00846AD1" w:rsidRDefault="00846AD1">
      <w:pPr>
        <w:spacing w:after="200"/>
        <w:rPr>
          <w:b/>
          <w:bCs/>
          <w:sz w:val="36"/>
          <w:szCs w:val="28"/>
        </w:rPr>
      </w:pPr>
      <w:r>
        <w:br w:type="page"/>
      </w:r>
    </w:p>
    <w:p w14:paraId="4E305093" w14:textId="6E9FB9C0" w:rsidR="00156100" w:rsidRDefault="008B4595" w:rsidP="002270BD">
      <w:pPr>
        <w:pStyle w:val="Heading1"/>
        <w:shd w:val="clear" w:color="auto" w:fill="FFFFFF" w:themeFill="background1"/>
      </w:pPr>
      <w:r>
        <w:lastRenderedPageBreak/>
        <w:t>Performance Comparison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1476"/>
        <w:gridCol w:w="1418"/>
        <w:gridCol w:w="1417"/>
        <w:gridCol w:w="2552"/>
      </w:tblGrid>
      <w:tr w:rsidR="002270BD" w14:paraId="2882A14A" w14:textId="77777777" w:rsidTr="002270BD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E8FE687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Model Family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18B9BB0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Model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E09630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jc w:val="center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ROC-AUC (Alarm)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9EE94D1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jc w:val="center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F1 Score (Alarm)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0CFE68C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jc w:val="center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Latency R² (Forecast)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2CC73C7" w14:textId="77777777" w:rsidR="00156100" w:rsidRPr="002270BD" w:rsidRDefault="008B4595" w:rsidP="002270BD">
            <w:pPr>
              <w:shd w:val="clear" w:color="auto" w:fill="FFFFFF" w:themeFill="background1"/>
              <w:spacing w:after="0" w:line="240" w:lineRule="auto"/>
              <w:rPr>
                <w:color w:val="auto"/>
              </w:rPr>
            </w:pPr>
            <w:r w:rsidRPr="002270BD">
              <w:rPr>
                <w:b/>
                <w:color w:val="auto"/>
                <w:sz w:val="22"/>
              </w:rPr>
              <w:t>Recommended Primary Role</w:t>
            </w:r>
          </w:p>
        </w:tc>
      </w:tr>
      <w:tr w:rsidR="002270BD" w14:paraId="09F7F5FC" w14:textId="77777777" w:rsidTr="002270BD">
        <w:tc>
          <w:tcPr>
            <w:tcW w:w="1728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3672616F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Graph Neural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5D10B916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GraphSAGE GNN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6599720F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0.924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4AB986F6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0.535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4A7B5938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0.039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</w:tcPr>
          <w:p w14:paraId="791A889D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Binary Early-Warning Alarms</w:t>
            </w:r>
          </w:p>
        </w:tc>
      </w:tr>
      <w:tr w:rsidR="00156100" w14:paraId="70322BA4" w14:textId="77777777" w:rsidTr="002270BD">
        <w:tc>
          <w:tcPr>
            <w:tcW w:w="1728" w:type="dxa"/>
            <w:tcBorders>
              <w:left w:val="single" w:sz="12" w:space="0" w:color="000000"/>
              <w:right w:val="single" w:sz="12" w:space="0" w:color="000000"/>
            </w:tcBorders>
          </w:tcPr>
          <w:p w14:paraId="08A47D45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Convolutional</w:t>
            </w:r>
          </w:p>
        </w:tc>
        <w:tc>
          <w:tcPr>
            <w:tcW w:w="1440" w:type="dxa"/>
            <w:tcBorders>
              <w:left w:val="single" w:sz="12" w:space="0" w:color="000000"/>
              <w:right w:val="single" w:sz="12" w:space="0" w:color="000000"/>
            </w:tcBorders>
          </w:tcPr>
          <w:p w14:paraId="296686CD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TCN</w:t>
            </w:r>
          </w:p>
        </w:tc>
        <w:tc>
          <w:tcPr>
            <w:tcW w:w="1476" w:type="dxa"/>
            <w:tcBorders>
              <w:left w:val="single" w:sz="12" w:space="0" w:color="000000"/>
              <w:right w:val="single" w:sz="12" w:space="0" w:color="000000"/>
            </w:tcBorders>
          </w:tcPr>
          <w:p w14:paraId="5D4E2BEE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0.880</w:t>
            </w:r>
          </w:p>
        </w:tc>
        <w:tc>
          <w:tcPr>
            <w:tcW w:w="1418" w:type="dxa"/>
            <w:tcBorders>
              <w:left w:val="single" w:sz="12" w:space="0" w:color="000000"/>
              <w:right w:val="single" w:sz="12" w:space="0" w:color="000000"/>
            </w:tcBorders>
          </w:tcPr>
          <w:p w14:paraId="1AF831EA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0.507</w:t>
            </w:r>
          </w:p>
        </w:tc>
        <w:tc>
          <w:tcPr>
            <w:tcW w:w="1417" w:type="dxa"/>
            <w:tcBorders>
              <w:left w:val="single" w:sz="12" w:space="0" w:color="000000"/>
              <w:right w:val="single" w:sz="12" w:space="0" w:color="000000"/>
            </w:tcBorders>
          </w:tcPr>
          <w:p w14:paraId="3E9F996D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0.775</w:t>
            </w:r>
          </w:p>
        </w:tc>
        <w:tc>
          <w:tcPr>
            <w:tcW w:w="2552" w:type="dxa"/>
            <w:tcBorders>
              <w:left w:val="single" w:sz="12" w:space="0" w:color="000000"/>
              <w:right w:val="single" w:sz="12" w:space="0" w:color="000000"/>
            </w:tcBorders>
          </w:tcPr>
          <w:p w14:paraId="0BCDC604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Balanced / Fast Parallel Training</w:t>
            </w:r>
          </w:p>
        </w:tc>
      </w:tr>
      <w:tr w:rsidR="00156100" w14:paraId="638D2E81" w14:textId="77777777" w:rsidTr="002270BD">
        <w:tc>
          <w:tcPr>
            <w:tcW w:w="1728" w:type="dxa"/>
            <w:tcBorders>
              <w:left w:val="single" w:sz="12" w:space="0" w:color="000000"/>
              <w:right w:val="single" w:sz="12" w:space="0" w:color="000000"/>
            </w:tcBorders>
          </w:tcPr>
          <w:p w14:paraId="4FC12884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Recurrent</w:t>
            </w:r>
          </w:p>
        </w:tc>
        <w:tc>
          <w:tcPr>
            <w:tcW w:w="1440" w:type="dxa"/>
            <w:tcBorders>
              <w:left w:val="single" w:sz="12" w:space="0" w:color="000000"/>
              <w:right w:val="single" w:sz="12" w:space="0" w:color="000000"/>
            </w:tcBorders>
          </w:tcPr>
          <w:p w14:paraId="403C2632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LSTM</w:t>
            </w:r>
          </w:p>
        </w:tc>
        <w:tc>
          <w:tcPr>
            <w:tcW w:w="1476" w:type="dxa"/>
            <w:tcBorders>
              <w:left w:val="single" w:sz="12" w:space="0" w:color="000000"/>
              <w:right w:val="single" w:sz="12" w:space="0" w:color="000000"/>
            </w:tcBorders>
          </w:tcPr>
          <w:p w14:paraId="5E9228A0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0.879</w:t>
            </w:r>
          </w:p>
        </w:tc>
        <w:tc>
          <w:tcPr>
            <w:tcW w:w="1418" w:type="dxa"/>
            <w:tcBorders>
              <w:left w:val="single" w:sz="12" w:space="0" w:color="000000"/>
              <w:right w:val="single" w:sz="12" w:space="0" w:color="000000"/>
            </w:tcBorders>
          </w:tcPr>
          <w:p w14:paraId="282D6183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0.482</w:t>
            </w:r>
          </w:p>
        </w:tc>
        <w:tc>
          <w:tcPr>
            <w:tcW w:w="1417" w:type="dxa"/>
            <w:tcBorders>
              <w:left w:val="single" w:sz="12" w:space="0" w:color="000000"/>
              <w:right w:val="single" w:sz="12" w:space="0" w:color="000000"/>
            </w:tcBorders>
          </w:tcPr>
          <w:p w14:paraId="70029AD4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0.832</w:t>
            </w:r>
          </w:p>
        </w:tc>
        <w:tc>
          <w:tcPr>
            <w:tcW w:w="2552" w:type="dxa"/>
            <w:tcBorders>
              <w:left w:val="single" w:sz="12" w:space="0" w:color="000000"/>
              <w:right w:val="single" w:sz="12" w:space="0" w:color="000000"/>
            </w:tcBorders>
          </w:tcPr>
          <w:p w14:paraId="2EFAB8B8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Numeric Forecasts &amp; SLA Dashboards</w:t>
            </w:r>
          </w:p>
        </w:tc>
      </w:tr>
      <w:tr w:rsidR="00156100" w14:paraId="3118DF86" w14:textId="77777777" w:rsidTr="002270BD">
        <w:tc>
          <w:tcPr>
            <w:tcW w:w="1728" w:type="dxa"/>
            <w:tcBorders>
              <w:left w:val="single" w:sz="12" w:space="0" w:color="000000"/>
              <w:right w:val="single" w:sz="12" w:space="0" w:color="000000"/>
            </w:tcBorders>
          </w:tcPr>
          <w:p w14:paraId="3A3DE587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Statistical</w:t>
            </w:r>
          </w:p>
        </w:tc>
        <w:tc>
          <w:tcPr>
            <w:tcW w:w="1440" w:type="dxa"/>
            <w:tcBorders>
              <w:left w:val="single" w:sz="12" w:space="0" w:color="000000"/>
              <w:right w:val="single" w:sz="12" w:space="0" w:color="000000"/>
            </w:tcBorders>
          </w:tcPr>
          <w:p w14:paraId="739B3DA3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Moving Average</w:t>
            </w:r>
          </w:p>
        </w:tc>
        <w:tc>
          <w:tcPr>
            <w:tcW w:w="1476" w:type="dxa"/>
            <w:tcBorders>
              <w:left w:val="single" w:sz="12" w:space="0" w:color="000000"/>
              <w:right w:val="single" w:sz="12" w:space="0" w:color="000000"/>
            </w:tcBorders>
          </w:tcPr>
          <w:p w14:paraId="25988F00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0.890</w:t>
            </w:r>
          </w:p>
        </w:tc>
        <w:tc>
          <w:tcPr>
            <w:tcW w:w="1418" w:type="dxa"/>
            <w:tcBorders>
              <w:left w:val="single" w:sz="12" w:space="0" w:color="000000"/>
              <w:right w:val="single" w:sz="12" w:space="0" w:color="000000"/>
            </w:tcBorders>
          </w:tcPr>
          <w:p w14:paraId="68B2C558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0.505</w:t>
            </w:r>
          </w:p>
        </w:tc>
        <w:tc>
          <w:tcPr>
            <w:tcW w:w="1417" w:type="dxa"/>
            <w:tcBorders>
              <w:left w:val="single" w:sz="12" w:space="0" w:color="000000"/>
              <w:right w:val="single" w:sz="12" w:space="0" w:color="000000"/>
            </w:tcBorders>
          </w:tcPr>
          <w:p w14:paraId="2D49B2B6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0.269</w:t>
            </w:r>
          </w:p>
        </w:tc>
        <w:tc>
          <w:tcPr>
            <w:tcW w:w="2552" w:type="dxa"/>
            <w:tcBorders>
              <w:left w:val="single" w:sz="12" w:space="0" w:color="000000"/>
              <w:right w:val="single" w:sz="12" w:space="0" w:color="000000"/>
            </w:tcBorders>
          </w:tcPr>
          <w:p w14:paraId="7F59BF9D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 xml:space="preserve">Statistical Floor </w:t>
            </w:r>
            <w:r>
              <w:rPr>
                <w:sz w:val="22"/>
              </w:rPr>
              <w:t>Baseline</w:t>
            </w:r>
          </w:p>
        </w:tc>
      </w:tr>
      <w:tr w:rsidR="002270BD" w14:paraId="07029F69" w14:textId="77777777" w:rsidTr="002270BD">
        <w:tc>
          <w:tcPr>
            <w:tcW w:w="172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3EA54" w14:textId="77777777" w:rsidR="00156100" w:rsidRDefault="008B4595">
            <w:pPr>
              <w:spacing w:after="0" w:line="240" w:lineRule="auto"/>
            </w:pPr>
            <w:r>
              <w:rPr>
                <w:sz w:val="22"/>
              </w:rPr>
              <w:t>Statistical</w:t>
            </w:r>
          </w:p>
        </w:tc>
        <w:tc>
          <w:tcPr>
            <w:tcW w:w="1440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22815968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ARIMA (2,0,1)</w:t>
            </w:r>
          </w:p>
        </w:tc>
        <w:tc>
          <w:tcPr>
            <w:tcW w:w="1476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574FA9CB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0.798</w:t>
            </w:r>
          </w:p>
        </w:tc>
        <w:tc>
          <w:tcPr>
            <w:tcW w:w="1418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2631C7BC" w14:textId="77777777" w:rsidR="00156100" w:rsidRDefault="008B4595">
            <w:pPr>
              <w:spacing w:after="0" w:line="240" w:lineRule="auto"/>
              <w:jc w:val="center"/>
            </w:pPr>
            <w:r>
              <w:rPr>
                <w:sz w:val="22"/>
              </w:rPr>
              <w:t>0.392</w:t>
            </w:r>
          </w:p>
        </w:tc>
        <w:tc>
          <w:tcPr>
            <w:tcW w:w="1417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5EC83BDB" w14:textId="77777777" w:rsidR="00156100" w:rsidRPr="002270BD" w:rsidRDefault="008B4595">
            <w:pPr>
              <w:spacing w:after="0" w:line="240" w:lineRule="auto"/>
              <w:jc w:val="center"/>
              <w:rPr>
                <w:bCs/>
              </w:rPr>
            </w:pPr>
            <w:r w:rsidRPr="002270BD">
              <w:rPr>
                <w:bCs/>
                <w:sz w:val="22"/>
              </w:rPr>
              <w:t>-261.96</w:t>
            </w:r>
          </w:p>
        </w:tc>
        <w:tc>
          <w:tcPr>
            <w:tcW w:w="2552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42AD221E" w14:textId="77777777" w:rsidR="00156100" w:rsidRPr="002270BD" w:rsidRDefault="008B4595">
            <w:pPr>
              <w:spacing w:after="0" w:line="240" w:lineRule="auto"/>
              <w:rPr>
                <w:bCs/>
              </w:rPr>
            </w:pPr>
            <w:r w:rsidRPr="002270BD">
              <w:rPr>
                <w:bCs/>
                <w:sz w:val="22"/>
              </w:rPr>
              <w:t>Unstable / Do Not Use</w:t>
            </w:r>
          </w:p>
        </w:tc>
      </w:tr>
    </w:tbl>
    <w:p w14:paraId="75CAF044" w14:textId="77777777" w:rsidR="002270BD" w:rsidRDefault="002270BD" w:rsidP="00846AD1">
      <w:pPr>
        <w:spacing w:after="80"/>
      </w:pPr>
    </w:p>
    <w:p w14:paraId="650C43AA" w14:textId="53977E09" w:rsidR="00846AD1" w:rsidRPr="00846AD1" w:rsidRDefault="00846AD1" w:rsidP="00846AD1">
      <w:pPr>
        <w:spacing w:after="80"/>
        <w:rPr>
          <w:b/>
        </w:rPr>
      </w:pPr>
      <w:r w:rsidRPr="00846AD1">
        <w:rPr>
          <w:b/>
          <w:sz w:val="22"/>
        </w:rPr>
        <w:t>KEY TAKEAWAY</w:t>
      </w:r>
    </w:p>
    <w:p w14:paraId="2099862C" w14:textId="77777777" w:rsidR="00846AD1" w:rsidRDefault="00846AD1" w:rsidP="00846AD1">
      <w:pPr>
        <w:spacing w:after="0"/>
        <w:rPr>
          <w:bCs/>
        </w:rPr>
      </w:pPr>
      <w:r w:rsidRPr="00846AD1">
        <w:rPr>
          <w:bCs/>
        </w:rPr>
        <w:t xml:space="preserve">The GNN is the best at raising alarms. LSTM and TCN are the best at predicting the actual latency numbers. The simple Moving Average is a surprisingly tough baseline. We therefore recommend a Hybrid Model: </w:t>
      </w:r>
    </w:p>
    <w:p w14:paraId="799A44B8" w14:textId="3C7B0A58" w:rsidR="00156100" w:rsidRPr="00846AD1" w:rsidRDefault="00846AD1" w:rsidP="00846AD1">
      <w:pPr>
        <w:spacing w:after="0"/>
        <w:rPr>
          <w:bCs/>
        </w:rPr>
      </w:pPr>
      <w:r>
        <w:rPr>
          <w:bCs/>
        </w:rPr>
        <w:t>A</w:t>
      </w:r>
      <w:r w:rsidRPr="00846AD1">
        <w:rPr>
          <w:bCs/>
        </w:rPr>
        <w:t xml:space="preserve"> GNN spatial encoder (which looks at neighboring devices) combined with an LSTM/TCN temporal sequence layer (which looks at each device's history), so the model gets both strengths.</w:t>
      </w:r>
    </w:p>
    <w:p w14:paraId="78233D44" w14:textId="5B7A3495" w:rsidR="00156100" w:rsidRDefault="008B4595">
      <w:pPr>
        <w:pStyle w:val="Heading1"/>
      </w:pPr>
      <w:r>
        <w:t>Final Strategic Conclusion: The Hybrid Model</w:t>
      </w:r>
    </w:p>
    <w:p w14:paraId="7AF261B2" w14:textId="77777777" w:rsidR="00156100" w:rsidRDefault="008B4595">
      <w:r>
        <w:t>To remove the trade-off between alarm accuracy and numeric reliability, the proje</w:t>
      </w:r>
      <w:r>
        <w:t>ct proposals recommend developing a Hybrid Spatio-Temporal Model. It has two main design choices:</w:t>
      </w:r>
    </w:p>
    <w:p w14:paraId="3F9ADD94" w14:textId="77777777" w:rsidR="00156100" w:rsidRDefault="008B4595">
      <w:pPr>
        <w:pStyle w:val="ListNumber"/>
      </w:pPr>
      <w:r>
        <w:rPr>
          <w:b/>
        </w:rPr>
        <w:t xml:space="preserve">Architecture: </w:t>
      </w:r>
      <w:r>
        <w:t xml:space="preserve">Combine a GNN spatial aggregation layer (captures how neighboring devices in a cell compete for resources) with an LSTM or TCN temporal encoder </w:t>
      </w:r>
      <w:r>
        <w:t>(tracks the history of each single device).</w:t>
      </w:r>
    </w:p>
    <w:p w14:paraId="3333509B" w14:textId="77777777" w:rsidR="00156100" w:rsidRDefault="008B4595">
      <w:pPr>
        <w:pStyle w:val="ListNumber"/>
      </w:pPr>
      <w:r>
        <w:rPr>
          <w:b/>
        </w:rPr>
        <w:t xml:space="preserve">Loss Objective: </w:t>
      </w:r>
      <w:r>
        <w:t>Train the whole network end-to-end directly on a binary classification loss such as Binary Cross-Entropy (a standard error measure for yes/no predictions). This is better than predicting a score f</w:t>
      </w:r>
      <w:r>
        <w:t>irst and then applying a cutoff (post-hoc sigmoid thresholding) afterwards.</w:t>
      </w:r>
    </w:p>
    <w:p w14:paraId="7B877A3D" w14:textId="15E6D574" w:rsidR="00156100" w:rsidRDefault="008B4595">
      <w:pPr>
        <w:pStyle w:val="Heading1"/>
        <w:pageBreakBefore/>
      </w:pPr>
      <w:r>
        <w:lastRenderedPageBreak/>
        <w:t>References</w:t>
      </w:r>
    </w:p>
    <w:p w14:paraId="17696881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Bai, S., Kolter, J. Z., &amp; Koltun, V. (2018). </w:t>
      </w:r>
      <w:r w:rsidRPr="002270BD">
        <w:rPr>
          <w:i/>
        </w:rPr>
        <w:t>An empirical evaluation of generic convolutional and recurrent networks for sequence modeling</w:t>
      </w:r>
      <w:r>
        <w:t xml:space="preserve">. arXiv. </w:t>
      </w:r>
      <w:r>
        <w:t>https://arxiv.org/abs/1803.01271</w:t>
      </w:r>
    </w:p>
    <w:p w14:paraId="41DAD788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Box, G. E. P., Jenkins, G. M., Reinsel, G. C., &amp; Ljung, G. M. (2015). </w:t>
      </w:r>
      <w:r w:rsidRPr="002270BD">
        <w:rPr>
          <w:i/>
        </w:rPr>
        <w:t>Time series analysis: Forecasting and control</w:t>
      </w:r>
      <w:r>
        <w:t xml:space="preserve"> (5th ed.). Wiley.</w:t>
      </w:r>
    </w:p>
    <w:p w14:paraId="038B5EDE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Guo, S., Lin, Y., Feng, N., Song, C., &amp; Wan, H. (2019). Attention based spatial-temporal </w:t>
      </w:r>
      <w:r>
        <w:t xml:space="preserve">graph convolutional networks for traffic flow forecasting. </w:t>
      </w:r>
      <w:r w:rsidRPr="002270BD">
        <w:rPr>
          <w:i/>
        </w:rPr>
        <w:t>Proceedings of the AAAI Conference on Artificial Intelligence, 33</w:t>
      </w:r>
      <w:r>
        <w:t>(01), 922–929.</w:t>
      </w:r>
    </w:p>
    <w:p w14:paraId="14C311B0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Hamilton, W. L., Ying, R., &amp; Leskovec, J. (2017). Inductive representation learning on large graphs. </w:t>
      </w:r>
      <w:r w:rsidRPr="002270BD">
        <w:rPr>
          <w:i/>
        </w:rPr>
        <w:t>Advances in Neur</w:t>
      </w:r>
      <w:r w:rsidRPr="002270BD">
        <w:rPr>
          <w:i/>
        </w:rPr>
        <w:t>al Information Processing Systems, 30</w:t>
      </w:r>
      <w:r>
        <w:t>, 1024–1034.</w:t>
      </w:r>
    </w:p>
    <w:p w14:paraId="1A8A58C4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Hochreiter, S., &amp; Schmidhuber, J. (1997). Long short-term memory. </w:t>
      </w:r>
      <w:r w:rsidRPr="002270BD">
        <w:rPr>
          <w:i/>
        </w:rPr>
        <w:t>Neural Computation, 9</w:t>
      </w:r>
      <w:r>
        <w:t>(8), 1735–1780.</w:t>
      </w:r>
    </w:p>
    <w:p w14:paraId="487C2A26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>Li, Y., Yu, R., Shahabi, C., &amp; Liu, Y. (2018). Diffusion convolutional recurrent neural network: Data-d</w:t>
      </w:r>
      <w:r>
        <w:t xml:space="preserve">riven traffic forecasting. </w:t>
      </w:r>
      <w:r w:rsidRPr="002270BD">
        <w:rPr>
          <w:i/>
        </w:rPr>
        <w:t>International Conference on Learning Representations (ICLR 2018)</w:t>
      </w:r>
      <w:r>
        <w:t>.</w:t>
      </w:r>
    </w:p>
    <w:p w14:paraId="5E69D090" w14:textId="77777777" w:rsidR="00156100" w:rsidRDefault="008B4595" w:rsidP="002270BD">
      <w:pPr>
        <w:pStyle w:val="ListParagraph"/>
        <w:numPr>
          <w:ilvl w:val="0"/>
          <w:numId w:val="11"/>
        </w:numPr>
        <w:jc w:val="both"/>
      </w:pPr>
      <w:r>
        <w:t xml:space="preserve">Yu, B., Yin, H., &amp; Zhu, Z. (2018). Spatio-temporal graph convolutional networks: A deep learning framework for traffic forecasting. </w:t>
      </w:r>
      <w:r w:rsidRPr="002270BD">
        <w:rPr>
          <w:i/>
        </w:rPr>
        <w:t>Proceedings of the 27th Interna</w:t>
      </w:r>
      <w:r w:rsidRPr="002270BD">
        <w:rPr>
          <w:i/>
        </w:rPr>
        <w:t>tional Joint Conference on Artificial Intelligence (IJCAI-18)</w:t>
      </w:r>
      <w:r>
        <w:t>, 3634–3640.</w:t>
      </w:r>
    </w:p>
    <w:sectPr w:rsidR="00156100" w:rsidSect="00034616">
      <w:footerReference w:type="default" r:id="rId8"/>
      <w:pgSz w:w="11909" w:h="16834"/>
      <w:pgMar w:top="1296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979A67" w14:textId="77777777" w:rsidR="008B4595" w:rsidRDefault="008B4595">
      <w:pPr>
        <w:spacing w:after="0" w:line="240" w:lineRule="auto"/>
      </w:pPr>
      <w:r>
        <w:separator/>
      </w:r>
    </w:p>
  </w:endnote>
  <w:endnote w:type="continuationSeparator" w:id="0">
    <w:p w14:paraId="64CD5A8F" w14:textId="77777777" w:rsidR="008B4595" w:rsidRDefault="008B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37BCBA" w14:textId="3B791C8C" w:rsidR="00156100" w:rsidRDefault="0015610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6A5A9" w14:textId="77777777" w:rsidR="008B4595" w:rsidRDefault="008B4595">
      <w:pPr>
        <w:spacing w:after="0" w:line="240" w:lineRule="auto"/>
      </w:pPr>
      <w:r>
        <w:separator/>
      </w:r>
    </w:p>
  </w:footnote>
  <w:footnote w:type="continuationSeparator" w:id="0">
    <w:p w14:paraId="0CFB996D" w14:textId="77777777" w:rsidR="008B4595" w:rsidRDefault="008B4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03F8A"/>
    <w:multiLevelType w:val="hybridMultilevel"/>
    <w:tmpl w:val="A5507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327C4"/>
    <w:multiLevelType w:val="hybridMultilevel"/>
    <w:tmpl w:val="6F1277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80"/>
    <w:rsid w:val="0015074B"/>
    <w:rsid w:val="00156100"/>
    <w:rsid w:val="002270BD"/>
    <w:rsid w:val="0029639D"/>
    <w:rsid w:val="00326F90"/>
    <w:rsid w:val="004D0394"/>
    <w:rsid w:val="00846AD1"/>
    <w:rsid w:val="008B4595"/>
    <w:rsid w:val="00A139C8"/>
    <w:rsid w:val="00AA1D8D"/>
    <w:rsid w:val="00AC6B33"/>
    <w:rsid w:val="00B47730"/>
    <w:rsid w:val="00C550D7"/>
    <w:rsid w:val="00CB0664"/>
    <w:rsid w:val="00F21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5AA56"/>
  <w14:defaultImageDpi w14:val="300"/>
  <w15:docId w15:val="{6ACB17BC-E3C9-46CA-B230-FD409AFC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52" w:lineRule="auto"/>
      <w:contextualSpacing/>
    </w:pPr>
    <w:rPr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846AD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270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 Evaluation &amp; Comparative Analysis: Network Congestion Prediction</vt:lpstr>
    </vt:vector>
  </TitlesOfParts>
  <Manager/>
  <Company/>
  <LinksUpToDate>false</LinksUpToDate>
  <CharactersWithSpaces>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Evaluation &amp; Comparative Analysis: Network Congestion Prediction</dc:title>
  <dc:subject>Network Congestion Prediction</dc:subject>
  <dc:creator>python-docx</dc:creator>
  <cp:keywords/>
  <dc:description>generated by python-docx</dc:description>
  <cp:lastModifiedBy>Anirudh Kamat</cp:lastModifiedBy>
  <cp:revision>3</cp:revision>
  <dcterms:created xsi:type="dcterms:W3CDTF">2026-09-23T18:17:00Z</dcterms:created>
  <dcterms:modified xsi:type="dcterms:W3CDTF">2026-09-23T18:18:00Z</dcterms:modified>
  <cp:category/>
</cp:coreProperties>
</file>