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40"/>
          <w:szCs w:val="40"/>
        </w:rPr>
        <w:t xml:space="preserve">Simulation-to-Reality Gap Analysis</w:t>
      </w:r>
    </w:p>
    <w:p>
      <w:pPr>
        <w:spacing w:after="40"/>
      </w:pPr>
      <w:r>
        <w:rPr>
          <w:color w:val="444444"/>
          <w:sz w:val="26"/>
          <w:szCs w:val="26"/>
        </w:rPr>
        <w:t xml:space="preserve">How the OMNeT++ / Simu5G Simulation Framework Shapes the Congestion-Prediction Model Results</w:t>
      </w:r>
    </w:p>
    <w:p>
      <w:pPr>
        <w:spacing w:after="300"/>
      </w:pPr>
      <w:r>
        <w:rPr>
          <w:i/>
          <w:iCs/>
          <w:color w:val="666666"/>
          <w:sz w:val="22"/>
          <w:szCs w:val="22"/>
        </w:rPr>
        <w:t xml:space="preserve">Companion analysis to: “Proactive 5G Congestion Prediction — Model Comparison Report (Moving Average, ARIMA, LSTM, GNN, TCN)”</w:t>
      </w:r>
    </w:p>
    <w:p>
      <w:pPr>
        <w:pStyle w:val="Heading1"/>
        <w:spacing w:after="160" w:before="400"/>
      </w:pPr>
      <w:r>
        <w:t xml:space="preserve">1. Purpose and How to Read This Report</w:t>
      </w:r>
    </w:p>
    <w:p>
      <w:pPr>
        <w:spacing w:after="160" w:line="276"/>
      </w:pPr>
      <w:r>
        <w:t xml:space="preserve">The model comparison report establishes how well five models (Moving Average, ARIMA, LSTM, GraphSAGE GNN, and TCN) predict congestion within the world defined by the OMNeT++/Simu5G simulation. That is a model-quality question, and it has already been answered carefully — cross-scenario testing, a proper train-only scaler, threshold sweeps, and an honest write-up of the GNN's regression collapse all point to a methodologically sound evaluation.</w:t>
      </w:r>
    </w:p>
    <w:p>
      <w:pPr>
        <w:spacing w:after="160" w:line="276"/>
      </w:pPr>
      <w:r>
        <w:t xml:space="preserve">This report asks a different, harder question: if the same architectures were fed data from a real 5G deployment instead of Simu5G output, how much would the numbers move, and why? There is no single figure that answers this — nobody has paired real-network traces with this exact simulation to measure the gap directly — so what follows is a structured, evidence-based sensitivity assessment: for each simulation design choice, what does it abstract away, is it already flagged as a limitation, and how strongly could it plausibly move the reported metrics. Where the current report's own numbers already provide direct evidence of a sensitivity (e.g. a metric that collapses when the traffic scenario changes), that is used as the primary evidence rather than intuition alone.</w:t>
      </w:r>
    </w:p>
    <w:p>
      <w:pPr>
        <w:spacing w:after="160" w:line="276"/>
      </w:pPr>
      <w:r>
        <w:rPr>
          <w:b/>
          <w:bCs/>
        </w:rPr>
        <w:t xml:space="preserve">A note on scope: </w:t>
      </w:r>
      <w:r>
        <w:t xml:space="preserve">some simulation configuration details — exact UE count, number of cells, whether mobility was enabled, which Simu5G channel/scheduler modules were active — are not stated in the model report and were not available for this analysis. Those gaps are called out explicitly below rather than assumed, since guessing at them would undermine the point of this document.</w:t>
      </w:r>
    </w:p>
    <w:p>
      <w:pPr>
        <w:pStyle w:val="Heading1"/>
        <w:spacing w:after="160" w:before="400"/>
      </w:pPr>
      <w:r>
        <w:t xml:space="preserve">2. What the Simulation Stack Actually Represents</w:t>
      </w:r>
    </w:p>
    <w:p>
      <w:pPr>
        <w:spacing w:after="160" w:line="276"/>
      </w:pPr>
      <w:r>
        <w:t xml:space="preserve">OMNeT++ is a discrete-event network simulator; Simu5G is a module library on top of it that implements a 3GPP-inspired NR stack (PHY, MAC, RLC, PDCP, scheduler), and INET supplies the underlying transport/mobility/network layers. This combination is a standard, credible academic tool for generating labeled 5G KPI data — but it is important to be precise about what “realistic” means here. Simu5G's PHY layer is largely analytic: SINR is computed from path-loss and interference formulas and mapped to a CQI via lookup tables, rather than simulating actual waveform propagation. The scheduler, HARQ, and queueing behavior are reference implementations bundled with the framework, not a vendor's production stack.</w:t>
      </w:r>
    </w:p>
    <w:p>
      <w:pPr>
        <w:spacing w:after="160" w:line="276"/>
      </w:pPr>
      <w:r>
        <w:t xml:space="preserve">This is precisely why simulation was the right choice for building a labeled training set: it gives exact, noise-free ground truth for latency, throughput, and retransmissions — something no field trial can offer without expensive instrumentation. The trade-off is that every KPI the models were trained on is one abstraction layer removed from a physical radio measurement. The question for this report is which of those abstractions are tight enough to not matter, and which ones are doing real work in shaping the results already seen.</w:t>
      </w:r>
    </w:p>
    <w:p>
      <w:pPr>
        <w:pStyle w:val="Heading1"/>
        <w:spacing w:after="160" w:before="400"/>
      </w:pPr>
      <w:r>
        <w:t xml:space="preserve">3. From Simulator Trace to Model Input</w:t>
      </w:r>
    </w:p>
    <w:p>
      <w:pPr>
        <w:spacing w:after="160" w:line="276"/>
      </w:pPr>
      <w:r>
        <w:t xml:space="preserve">The eight features (Avg_Latency, Total_Throughput, Avg_CQI, Avg_SINR, Avg_PacketLoss, Avg_HARQ_Attempts, Avg_RLC_Delay, Total_Throughput_UL) are not raw radio measurements — each one is a per-UE, per-100ms-bin statistic computed inside the simulator from its internal state. That means each feature's fidelity is bounded by the fidelity of whichever Simu5G module computes it: Avg_CQI/Avg_SINR are bounded by the analytic channel model; Avg_HARQ_Attempts and Avg_RLC_Delay are bounded by the scheduler and MAC/RLC queueing model; throughput is bounded by how the traffic generator and counters are implemented.</w:t>
      </w:r>
    </w:p>
    <w:p>
      <w:pPr>
        <w:spacing w:after="160" w:line="276"/>
      </w:pPr>
      <w:r>
        <w:t xml:space="preserve">There is already direct evidence in the model report that this pipeline layer matters as much as model architecture. Total_Throughput is predicted poorly by all three deep models — LSTM R² = 0.22, TCN R² = 0.235, and the same wall shows up structurally across every architecture tested. Three unrelated temporal encoders hitting an identical ceiling on the same target is strong evidence the limitation lives in the feature/label design — specifically that Total_Throughput behaves as a cumulative counter rather than a per-bin rate in this dataset — not in any one model's capacity. That single finding is the clearest proof available that simulation/pipeline decisions, not model choice, can dominate a result.</w:t>
      </w:r>
    </w:p>
    <w:p>
      <w:pPr>
        <w:pStyle w:val="Heading1"/>
        <w:spacing w:after="160" w:before="400"/>
      </w:pPr>
      <w:r>
        <w:t xml:space="preserve">4. Factor-by-Factor Sensitivity Analysis</w:t>
      </w:r>
    </w:p>
    <w:p>
      <w:pPr>
        <w:spacing w:after="160" w:line="276"/>
      </w:pPr>
      <w:r>
        <w:t xml:space="preserve">Each row below is a simulation design choice, what it leaves out relative to a real deployment, whether the current report already accounts for it, and an estimated sensitivity — i.e. how much that factor plausibly contributes to the gap between “score on Simu5G data” and “score on real network data.” Sensitivity is rated High / Medium / Low and is a qualitative judgment grounded in evidence from the report where available, not a measured quantity.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000"/>
        <w:gridCol w:w="2900"/>
      </w:tblGrid>
      <w:tr>
        <w:trPr>
          <w:tblHeader/>
        </w:trPr>
        <w:tc>
          <w:tcPr>
            <w:tcW w:type="dxa" w:w="2000"/>
            <w:shd w:fill="2F5496" w:val="clear"/>
            <w:tcMar>
              <w:top w:type="dxa" w:w="80"/>
              <w:left w:type="dxa" w:w="100"/>
              <w:bottom w:type="dxa" w:w="80"/>
              <w:right w:type="dxa" w:w="100"/>
            </w:tcMar>
          </w:tcPr>
          <w:p>
            <w:r>
              <w:rPr>
                <w:b/>
                <w:bCs/>
                <w:color w:val="FFFFFF"/>
                <w:sz w:val="20"/>
                <w:szCs w:val="20"/>
              </w:rPr>
              <w:t xml:space="preserve">Simulation Factor</w:t>
            </w:r>
          </w:p>
        </w:tc>
        <w:tc>
          <w:tcPr>
            <w:tcW w:type="dxa" w:w="2600"/>
            <w:shd w:fill="2F5496" w:val="clear"/>
            <w:tcMar>
              <w:top w:type="dxa" w:w="80"/>
              <w:left w:type="dxa" w:w="100"/>
              <w:bottom w:type="dxa" w:w="80"/>
              <w:right w:type="dxa" w:w="100"/>
            </w:tcMar>
          </w:tcPr>
          <w:p>
            <w:r>
              <w:rPr>
                <w:b/>
                <w:bCs/>
                <w:color w:val="FFFFFF"/>
                <w:sz w:val="20"/>
                <w:szCs w:val="20"/>
              </w:rPr>
              <w:t xml:space="preserve">What Real Deployments Add</w:t>
            </w:r>
          </w:p>
        </w:tc>
        <w:tc>
          <w:tcPr>
            <w:tcW w:type="dxa" w:w="2000"/>
            <w:shd w:fill="2F5496" w:val="clear"/>
            <w:tcMar>
              <w:top w:type="dxa" w:w="80"/>
              <w:left w:type="dxa" w:w="100"/>
              <w:bottom w:type="dxa" w:w="80"/>
              <w:right w:type="dxa" w:w="100"/>
            </w:tcMar>
          </w:tcPr>
          <w:p>
            <w:r>
              <w:rPr>
                <w:b/>
                <w:bCs/>
                <w:color w:val="FFFFFF"/>
                <w:sz w:val="20"/>
                <w:szCs w:val="20"/>
              </w:rPr>
              <w:t xml:space="preserve">Addressed in Current Setup?</w:t>
            </w:r>
          </w:p>
        </w:tc>
        <w:tc>
          <w:tcPr>
            <w:tcW w:type="dxa" w:w="2900"/>
            <w:shd w:fill="2F5496" w:val="clear"/>
            <w:tcMar>
              <w:top w:type="dxa" w:w="80"/>
              <w:left w:type="dxa" w:w="100"/>
              <w:bottom w:type="dxa" w:w="80"/>
              <w:right w:type="dxa" w:w="100"/>
            </w:tcMar>
          </w:tcPr>
          <w:p>
            <w:r>
              <w:rPr>
                <w:b/>
                <w:bCs/>
                <w:color w:val="FFFFFF"/>
                <w:sz w:val="20"/>
                <w:szCs w:val="20"/>
              </w:rPr>
              <w:t xml:space="preserve">Est. Sensitivity</w:t>
            </w:r>
          </w:p>
        </w:tc>
      </w:tr>
      <w:tr>
        <w:tc>
          <w:tcPr>
            <w:tcW w:type="dxa" w:w="2000"/>
            <w:tcMar>
              <w:top w:type="dxa" w:w="80"/>
              <w:left w:type="dxa" w:w="100"/>
              <w:bottom w:type="dxa" w:w="80"/>
              <w:right w:type="dxa" w:w="100"/>
            </w:tcMar>
          </w:tcPr>
          <w:p>
            <w:r>
              <w:rPr>
                <w:b w:val="false"/>
                <w:bCs w:val="false"/>
                <w:sz w:val="20"/>
                <w:szCs w:val="20"/>
              </w:rPr>
              <w:t xml:space="preserve">Traffic pattern realism (UDP-burst / gradual-ramp are hand-designed synthetic patterns)</w:t>
            </w:r>
          </w:p>
        </w:tc>
        <w:tc>
          <w:tcPr>
            <w:tcW w:type="dxa" w:w="2600"/>
            <w:tcMar>
              <w:top w:type="dxa" w:w="80"/>
              <w:left w:type="dxa" w:w="100"/>
              <w:bottom w:type="dxa" w:w="80"/>
              <w:right w:type="dxa" w:w="100"/>
            </w:tcMar>
          </w:tcPr>
          <w:p>
            <w:r>
              <w:rPr>
                <w:b w:val="false"/>
                <w:bCs w:val="false"/>
                <w:sz w:val="20"/>
                <w:szCs w:val="20"/>
              </w:rPr>
              <w:t xml:space="preserve">Heterogeneous app mixes (video, gaming, IoT), diurnal load cycles, correlated multi-UE bursts, bursty real user behavior</w:t>
            </w:r>
          </w:p>
        </w:tc>
        <w:tc>
          <w:tcPr>
            <w:tcW w:type="dxa" w:w="2000"/>
            <w:tcMar>
              <w:top w:type="dxa" w:w="80"/>
              <w:left w:type="dxa" w:w="100"/>
              <w:bottom w:type="dxa" w:w="80"/>
              <w:right w:type="dxa" w:w="100"/>
            </w:tcMar>
          </w:tcPr>
          <w:p>
            <w:r>
              <w:rPr>
                <w:b w:val="false"/>
                <w:bCs w:val="false"/>
                <w:sz w:val="20"/>
                <w:szCs w:val="20"/>
              </w:rPr>
              <w:t xml:space="preserve">Partially — two distinct patterns were used precisely to test cross-scenario generalization</w:t>
            </w:r>
          </w:p>
        </w:tc>
        <w:tc>
          <w:tcPr>
            <w:tcW w:type="dxa" w:w="2900"/>
            <w:tcMar>
              <w:top w:type="dxa" w:w="80"/>
              <w:left w:type="dxa" w:w="100"/>
              <w:bottom w:type="dxa" w:w="80"/>
              <w:right w:type="dxa" w:w="100"/>
            </w:tcMar>
          </w:tcPr>
          <w:p>
            <w:r>
              <w:rPr>
                <w:b w:val="false"/>
                <w:bCs w:val="false"/>
                <w:sz w:val="20"/>
                <w:szCs w:val="20"/>
              </w:rPr>
              <w:t xml:space="preserve">HIGH — directly evidenced: GNN Latency R² falls from 0.969 (in-distribution) to 0.039 (unseen scenario) purely from a traffic-pattern shift within the simulator itself</w:t>
            </w:r>
          </w:p>
        </w:tc>
      </w:tr>
      <w:tr>
        <w:tc>
          <w:tcPr>
            <w:tcW w:type="dxa" w:w="2000"/>
            <w:shd w:fill="F2F2F2" w:val="clear"/>
            <w:tcMar>
              <w:top w:type="dxa" w:w="80"/>
              <w:left w:type="dxa" w:w="100"/>
              <w:bottom w:type="dxa" w:w="80"/>
              <w:right w:type="dxa" w:w="100"/>
            </w:tcMar>
          </w:tcPr>
          <w:p>
            <w:r>
              <w:rPr>
                <w:b w:val="false"/>
                <w:bCs w:val="false"/>
                <w:sz w:val="20"/>
                <w:szCs w:val="20"/>
              </w:rPr>
              <w:t xml:space="preserve">Channel / propagation model (analytic path-loss + SINR→CQI lookup, not ray-tracing or measured RF)</w:t>
            </w:r>
          </w:p>
        </w:tc>
        <w:tc>
          <w:tcPr>
            <w:tcW w:type="dxa" w:w="2600"/>
            <w:shd w:fill="F2F2F2" w:val="clear"/>
            <w:tcMar>
              <w:top w:type="dxa" w:w="80"/>
              <w:left w:type="dxa" w:w="100"/>
              <w:bottom w:type="dxa" w:w="80"/>
              <w:right w:type="dxa" w:w="100"/>
            </w:tcMar>
          </w:tcPr>
          <w:p>
            <w:r>
              <w:rPr>
                <w:b w:val="false"/>
                <w:bCs w:val="false"/>
                <w:sz w:val="20"/>
                <w:szCs w:val="20"/>
              </w:rPr>
              <w:t xml:space="preserve">Multipath fading, real building/terrain shadowing, weather, interference from real neighboring cells and non-3GPP RF sources</w:t>
            </w:r>
          </w:p>
        </w:tc>
        <w:tc>
          <w:tcPr>
            <w:tcW w:type="dxa" w:w="2000"/>
            <w:shd w:fill="F2F2F2" w:val="clear"/>
            <w:tcMar>
              <w:top w:type="dxa" w:w="80"/>
              <w:left w:type="dxa" w:w="100"/>
              <w:bottom w:type="dxa" w:w="80"/>
              <w:right w:type="dxa" w:w="100"/>
            </w:tcMar>
          </w:tcPr>
          <w:p>
            <w:r>
              <w:rPr>
                <w:b w:val="false"/>
                <w:bCs w:val="false"/>
                <w:sz w:val="20"/>
                <w:szCs w:val="20"/>
              </w:rPr>
              <w:t xml:space="preserve">Not addressed</w:t>
            </w:r>
          </w:p>
        </w:tc>
        <w:tc>
          <w:tcPr>
            <w:tcW w:type="dxa" w:w="2900"/>
            <w:shd w:fill="F2F2F2" w:val="clear"/>
            <w:tcMar>
              <w:top w:type="dxa" w:w="80"/>
              <w:left w:type="dxa" w:w="100"/>
              <w:bottom w:type="dxa" w:w="80"/>
              <w:right w:type="dxa" w:w="100"/>
            </w:tcMar>
          </w:tcPr>
          <w:p>
            <w:r>
              <w:rPr>
                <w:b w:val="false"/>
                <w:bCs w:val="false"/>
                <w:sz w:val="20"/>
                <w:szCs w:val="20"/>
              </w:rPr>
              <w:t xml:space="preserve">MEDIUM-HIGH — Avg_CQI and Avg_SINR are 2 of 8 inputs; models have learned relationships between formula-derived channel values and outcomes, not empirical RF behavior</w:t>
            </w:r>
          </w:p>
        </w:tc>
      </w:tr>
      <w:tr>
        <w:tc>
          <w:tcPr>
            <w:tcW w:type="dxa" w:w="2000"/>
            <w:tcMar>
              <w:top w:type="dxa" w:w="80"/>
              <w:left w:type="dxa" w:w="100"/>
              <w:bottom w:type="dxa" w:w="80"/>
              <w:right w:type="dxa" w:w="100"/>
            </w:tcMar>
          </w:tcPr>
          <w:p>
            <w:r>
              <w:rPr>
                <w:b w:val="false"/>
                <w:bCs w:val="false"/>
                <w:sz w:val="20"/>
                <w:szCs w:val="20"/>
              </w:rPr>
              <w:t xml:space="preserve">Scheduler / MAC implementation (Simu5G reference scheduler)</w:t>
            </w:r>
          </w:p>
        </w:tc>
        <w:tc>
          <w:tcPr>
            <w:tcW w:type="dxa" w:w="2600"/>
            <w:tcMar>
              <w:top w:type="dxa" w:w="80"/>
              <w:left w:type="dxa" w:w="100"/>
              <w:bottom w:type="dxa" w:w="80"/>
              <w:right w:type="dxa" w:w="100"/>
            </w:tcMar>
          </w:tcPr>
          <w:p>
            <w:r>
              <w:rPr>
                <w:b w:val="false"/>
                <w:bCs w:val="false"/>
                <w:sz w:val="20"/>
                <w:szCs w:val="20"/>
              </w:rPr>
              <w:t xml:space="preserve">Vendor-specific proprietary schedulers, network slicing, real HARQ timing jitter</w:t>
            </w:r>
          </w:p>
        </w:tc>
        <w:tc>
          <w:tcPr>
            <w:tcW w:type="dxa" w:w="2000"/>
            <w:tcMar>
              <w:top w:type="dxa" w:w="80"/>
              <w:left w:type="dxa" w:w="100"/>
              <w:bottom w:type="dxa" w:w="80"/>
              <w:right w:type="dxa" w:w="100"/>
            </w:tcMar>
          </w:tcPr>
          <w:p>
            <w:r>
              <w:rPr>
                <w:b w:val="false"/>
                <w:bCs w:val="false"/>
                <w:sz w:val="20"/>
                <w:szCs w:val="20"/>
              </w:rPr>
              <w:t xml:space="preserve">Not addressed</w:t>
            </w:r>
          </w:p>
        </w:tc>
        <w:tc>
          <w:tcPr>
            <w:tcW w:type="dxa" w:w="2900"/>
            <w:tcMar>
              <w:top w:type="dxa" w:w="80"/>
              <w:left w:type="dxa" w:w="100"/>
              <w:bottom w:type="dxa" w:w="80"/>
              <w:right w:type="dxa" w:w="100"/>
            </w:tcMar>
          </w:tcPr>
          <w:p>
            <w:r>
              <w:rPr>
                <w:b w:val="false"/>
                <w:bCs w:val="false"/>
                <w:sz w:val="20"/>
                <w:szCs w:val="20"/>
              </w:rPr>
              <w:t xml:space="preserve">MEDIUM — Avg_HARQ_Attempts and Avg_RLC_Delay are direct scheduler outputs; a different scheduler implies a different label distribution, not just a shifted one</w:t>
            </w:r>
          </w:p>
        </w:tc>
      </w:tr>
      <w:tr>
        <w:tc>
          <w:tcPr>
            <w:tcW w:type="dxa" w:w="2000"/>
            <w:shd w:fill="F2F2F2" w:val="clear"/>
            <w:tcMar>
              <w:top w:type="dxa" w:w="80"/>
              <w:left w:type="dxa" w:w="100"/>
              <w:bottom w:type="dxa" w:w="80"/>
              <w:right w:type="dxa" w:w="100"/>
            </w:tcMar>
          </w:tcPr>
          <w:p>
            <w:r>
              <w:rPr>
                <w:b w:val="false"/>
                <w:bCs w:val="false"/>
                <w:sz w:val="20"/>
                <w:szCs w:val="20"/>
              </w:rPr>
              <w:t xml:space="preserve">Cell topology / graph structure (GNN edges = fully-connected within one cell, static per bin)</w:t>
            </w:r>
          </w:p>
        </w:tc>
        <w:tc>
          <w:tcPr>
            <w:tcW w:type="dxa" w:w="2600"/>
            <w:shd w:fill="F2F2F2" w:val="clear"/>
            <w:tcMar>
              <w:top w:type="dxa" w:w="80"/>
              <w:left w:type="dxa" w:w="100"/>
              <w:bottom w:type="dxa" w:w="80"/>
              <w:right w:type="dxa" w:w="100"/>
            </w:tcMar>
          </w:tcPr>
          <w:p>
            <w:r>
              <w:rPr>
                <w:b w:val="false"/>
                <w:bCs w:val="false"/>
                <w:sz w:val="20"/>
                <w:szCs w:val="20"/>
              </w:rPr>
              <w:t xml:space="preserve">Multi-cell interference, handovers, dynamic cell reselection, distance/SINR-weighted contention</w:t>
            </w:r>
          </w:p>
        </w:tc>
        <w:tc>
          <w:tcPr>
            <w:tcW w:type="dxa" w:w="2000"/>
            <w:shd w:fill="F2F2F2" w:val="clear"/>
            <w:tcMar>
              <w:top w:type="dxa" w:w="80"/>
              <w:left w:type="dxa" w:w="100"/>
              <w:bottom w:type="dxa" w:w="80"/>
              <w:right w:type="dxa" w:w="100"/>
            </w:tcMar>
          </w:tcPr>
          <w:p>
            <w:r>
              <w:rPr>
                <w:b w:val="false"/>
                <w:bCs w:val="false"/>
                <w:sz w:val="20"/>
                <w:szCs w:val="20"/>
              </w:rPr>
              <w:t xml:space="preserve">Not addressed — already flagged as a limitation in the source report</w:t>
            </w:r>
          </w:p>
        </w:tc>
        <w:tc>
          <w:tcPr>
            <w:tcW w:type="dxa" w:w="2900"/>
            <w:shd w:fill="F2F2F2" w:val="clear"/>
            <w:tcMar>
              <w:top w:type="dxa" w:w="80"/>
              <w:left w:type="dxa" w:w="100"/>
              <w:bottom w:type="dxa" w:w="80"/>
              <w:right w:type="dxa" w:w="100"/>
            </w:tcMar>
          </w:tcPr>
          <w:p>
            <w:r>
              <w:rPr>
                <w:b w:val="false"/>
                <w:bCs w:val="false"/>
                <w:sz w:val="20"/>
                <w:szCs w:val="20"/>
              </w:rPr>
              <w:t xml:space="preserve">HIGH for the GNN specifically — plausible root cause of its regression collapse: the graph topology it learned on may encode an invariant (uniform same-cell contention) that a real, non-uniform interference graph would break</w:t>
            </w:r>
          </w:p>
        </w:tc>
      </w:tr>
      <w:tr>
        <w:tc>
          <w:tcPr>
            <w:tcW w:type="dxa" w:w="2000"/>
            <w:tcMar>
              <w:top w:type="dxa" w:w="80"/>
              <w:left w:type="dxa" w:w="100"/>
              <w:bottom w:type="dxa" w:w="80"/>
              <w:right w:type="dxa" w:w="100"/>
            </w:tcMar>
          </w:tcPr>
          <w:p>
            <w:r>
              <w:rPr>
                <w:b w:val="false"/>
                <w:bCs w:val="false"/>
                <w:sz w:val="20"/>
                <w:szCs w:val="20"/>
              </w:rPr>
              <w:t xml:space="preserve">Mobility model / UE count / number of cells</w:t>
            </w:r>
          </w:p>
        </w:tc>
        <w:tc>
          <w:tcPr>
            <w:tcW w:type="dxa" w:w="2600"/>
            <w:tcMar>
              <w:top w:type="dxa" w:w="80"/>
              <w:left w:type="dxa" w:w="100"/>
              <w:bottom w:type="dxa" w:w="80"/>
              <w:right w:type="dxa" w:w="100"/>
            </w:tcMar>
          </w:tcPr>
          <w:p>
            <w:r>
              <w:rPr>
                <w:b w:val="false"/>
                <w:bCs w:val="false"/>
                <w:sz w:val="20"/>
                <w:szCs w:val="20"/>
              </w:rPr>
              <w:t xml:space="preserve">Real handset movement, handover-induced KPI transients, deployment-scale interference</w:t>
            </w:r>
          </w:p>
        </w:tc>
        <w:tc>
          <w:tcPr>
            <w:tcW w:type="dxa" w:w="2000"/>
            <w:tcMar>
              <w:top w:type="dxa" w:w="80"/>
              <w:left w:type="dxa" w:w="100"/>
              <w:bottom w:type="dxa" w:w="80"/>
              <w:right w:type="dxa" w:w="100"/>
            </w:tcMar>
          </w:tcPr>
          <w:p>
            <w:r>
              <w:rPr>
                <w:b w:val="false"/>
                <w:bCs w:val="false"/>
                <w:sz w:val="20"/>
                <w:szCs w:val="20"/>
              </w:rPr>
              <w:t xml:space="preserve">Unknown — not specified in the available report; flagged here as an open question rather than assumed</w:t>
            </w:r>
          </w:p>
        </w:tc>
        <w:tc>
          <w:tcPr>
            <w:tcW w:type="dxa" w:w="2900"/>
            <w:tcMar>
              <w:top w:type="dxa" w:w="80"/>
              <w:left w:type="dxa" w:w="100"/>
              <w:bottom w:type="dxa" w:w="80"/>
              <w:right w:type="dxa" w:w="100"/>
            </w:tcMar>
          </w:tcPr>
          <w:p>
            <w:r>
              <w:rPr>
                <w:b w:val="false"/>
                <w:bCs w:val="false"/>
                <w:sz w:val="20"/>
                <w:szCs w:val="20"/>
              </w:rPr>
              <w:t xml:space="preserve">UNDETERMINED — cannot be rated without configuration details; recommend confirming and re-assessing</w:t>
            </w:r>
          </w:p>
        </w:tc>
      </w:tr>
      <w:tr>
        <w:tc>
          <w:tcPr>
            <w:tcW w:type="dxa" w:w="2000"/>
            <w:shd w:fill="F2F2F2" w:val="clear"/>
            <w:tcMar>
              <w:top w:type="dxa" w:w="80"/>
              <w:left w:type="dxa" w:w="100"/>
              <w:bottom w:type="dxa" w:w="80"/>
              <w:right w:type="dxa" w:w="100"/>
            </w:tcMar>
          </w:tcPr>
          <w:p>
            <w:r>
              <w:rPr>
                <w:b w:val="false"/>
                <w:bCs w:val="false"/>
                <w:sz w:val="20"/>
                <w:szCs w:val="20"/>
              </w:rPr>
              <w:t xml:space="preserve">Time granularity (100ms bins, 1s window, 1s prediction horizon)</w:t>
            </w:r>
          </w:p>
        </w:tc>
        <w:tc>
          <w:tcPr>
            <w:tcW w:type="dxa" w:w="2600"/>
            <w:shd w:fill="F2F2F2" w:val="clear"/>
            <w:tcMar>
              <w:top w:type="dxa" w:w="80"/>
              <w:left w:type="dxa" w:w="100"/>
              <w:bottom w:type="dxa" w:w="80"/>
              <w:right w:type="dxa" w:w="100"/>
            </w:tcMar>
          </w:tcPr>
          <w:p>
            <w:r>
              <w:rPr>
                <w:b w:val="false"/>
                <w:bCs w:val="false"/>
                <w:sz w:val="20"/>
                <w:szCs w:val="20"/>
              </w:rPr>
              <w:t xml:space="preserve">NR scheduling operates at sub-ms/TTI granularity; real congestion can build and resolve faster than 100ms</w:t>
            </w:r>
          </w:p>
        </w:tc>
        <w:tc>
          <w:tcPr>
            <w:tcW w:type="dxa" w:w="2000"/>
            <w:shd w:fill="F2F2F2" w:val="clear"/>
            <w:tcMar>
              <w:top w:type="dxa" w:w="80"/>
              <w:left w:type="dxa" w:w="100"/>
              <w:bottom w:type="dxa" w:w="80"/>
              <w:right w:type="dxa" w:w="100"/>
            </w:tcMar>
          </w:tcPr>
          <w:p>
            <w:r>
              <w:rPr>
                <w:b w:val="false"/>
                <w:bCs w:val="false"/>
                <w:sz w:val="20"/>
                <w:szCs w:val="20"/>
              </w:rPr>
              <w:t xml:space="preserve">Partially — granularity is an explicit, documented design choice</w:t>
            </w:r>
          </w:p>
        </w:tc>
        <w:tc>
          <w:tcPr>
            <w:tcW w:type="dxa" w:w="2900"/>
            <w:shd w:fill="F2F2F2" w:val="clear"/>
            <w:tcMar>
              <w:top w:type="dxa" w:w="80"/>
              <w:left w:type="dxa" w:w="100"/>
              <w:bottom w:type="dxa" w:w="80"/>
              <w:right w:type="dxa" w:w="100"/>
            </w:tcMar>
          </w:tcPr>
          <w:p>
            <w:r>
              <w:rPr>
                <w:b w:val="false"/>
                <w:bCs w:val="false"/>
                <w:sz w:val="20"/>
                <w:szCs w:val="20"/>
              </w:rPr>
              <w:t xml:space="preserve">MEDIUM — the reported 0.91s mean advance-warning is bounded by this bin size; a system needing ms-scale reaction would need re-validation at finer granularity</w:t>
            </w:r>
          </w:p>
        </w:tc>
      </w:tr>
      <w:tr>
        <w:tc>
          <w:tcPr>
            <w:tcW w:type="dxa" w:w="2000"/>
            <w:tcMar>
              <w:top w:type="dxa" w:w="80"/>
              <w:left w:type="dxa" w:w="100"/>
              <w:bottom w:type="dxa" w:w="80"/>
              <w:right w:type="dxa" w:w="100"/>
            </w:tcMar>
          </w:tcPr>
          <w:p>
            <w:r>
              <w:rPr>
                <w:b w:val="false"/>
                <w:bCs w:val="false"/>
                <w:sz w:val="20"/>
                <w:szCs w:val="20"/>
              </w:rPr>
              <w:t xml:space="preserve">Feature set completeness (8 KPIs only)</w:t>
            </w:r>
          </w:p>
        </w:tc>
        <w:tc>
          <w:tcPr>
            <w:tcW w:type="dxa" w:w="2600"/>
            <w:tcMar>
              <w:top w:type="dxa" w:w="80"/>
              <w:left w:type="dxa" w:w="100"/>
              <w:bottom w:type="dxa" w:w="80"/>
              <w:right w:type="dxa" w:w="100"/>
            </w:tcMar>
          </w:tcPr>
          <w:p>
            <w:r>
              <w:rPr>
                <w:b w:val="false"/>
                <w:bCs w:val="false"/>
                <w:sz w:val="20"/>
                <w:szCs w:val="20"/>
              </w:rPr>
              <w:t xml:space="preserve">Buffer occupancy, PRB utilization, RRC signaling load, backhaul/transport congestion, X2/Xn inter-cell load</w:t>
            </w:r>
          </w:p>
        </w:tc>
        <w:tc>
          <w:tcPr>
            <w:tcW w:type="dxa" w:w="2000"/>
            <w:tcMar>
              <w:top w:type="dxa" w:w="80"/>
              <w:left w:type="dxa" w:w="100"/>
              <w:bottom w:type="dxa" w:w="80"/>
              <w:right w:type="dxa" w:w="100"/>
            </w:tcMar>
          </w:tcPr>
          <w:p>
            <w:r>
              <w:rPr>
                <w:b w:val="false"/>
                <w:bCs w:val="false"/>
                <w:sz w:val="20"/>
                <w:szCs w:val="20"/>
              </w:rPr>
              <w:t xml:space="preserve">Not addressed — already flagged in the source report's limitations section</w:t>
            </w:r>
          </w:p>
        </w:tc>
        <w:tc>
          <w:tcPr>
            <w:tcW w:type="dxa" w:w="2900"/>
            <w:tcMar>
              <w:top w:type="dxa" w:w="80"/>
              <w:left w:type="dxa" w:w="100"/>
              <w:bottom w:type="dxa" w:w="80"/>
              <w:right w:type="dxa" w:w="100"/>
            </w:tcMar>
          </w:tcPr>
          <w:p>
            <w:r>
              <w:rPr>
                <w:b w:val="false"/>
                <w:bCs w:val="false"/>
                <w:sz w:val="20"/>
                <w:szCs w:val="20"/>
              </w:rPr>
              <w:t xml:space="preserve">HIGH — the Total_Throughput ceiling (R² ≈ 0.22–0.24 across all deep models) already shows the 8-feature set is insufficient even inside the simulator, which sets a floor — not a ceiling — on how much worse it would be with real, noisier telemetry</w:t>
            </w:r>
          </w:p>
        </w:tc>
      </w:tr>
      <w:tr>
        <w:tc>
          <w:tcPr>
            <w:tcW w:type="dxa" w:w="2000"/>
            <w:shd w:fill="F2F2F2" w:val="clear"/>
            <w:tcMar>
              <w:top w:type="dxa" w:w="80"/>
              <w:left w:type="dxa" w:w="100"/>
              <w:bottom w:type="dxa" w:w="80"/>
              <w:right w:type="dxa" w:w="100"/>
            </w:tcMar>
          </w:tcPr>
          <w:p>
            <w:r>
              <w:rPr>
                <w:b w:val="false"/>
                <w:bCs w:val="false"/>
                <w:sz w:val="20"/>
                <w:szCs w:val="20"/>
              </w:rPr>
              <w:t xml:space="preserve">Congestion label definition (percentile-of-training-data threshold)</w:t>
            </w:r>
          </w:p>
        </w:tc>
        <w:tc>
          <w:tcPr>
            <w:tcW w:type="dxa" w:w="2600"/>
            <w:shd w:fill="F2F2F2" w:val="clear"/>
            <w:tcMar>
              <w:top w:type="dxa" w:w="80"/>
              <w:left w:type="dxa" w:w="100"/>
              <w:bottom w:type="dxa" w:w="80"/>
              <w:right w:type="dxa" w:w="100"/>
            </w:tcMar>
          </w:tcPr>
          <w:p>
            <w:r>
              <w:rPr>
                <w:b w:val="false"/>
                <w:bCs w:val="false"/>
                <w:sz w:val="20"/>
                <w:szCs w:val="20"/>
              </w:rPr>
              <w:t xml:space="preserve">Operator/SLA-defined absolute latency budgets per QoS class (3GPP-style), not a relative statistical cutoff</w:t>
            </w:r>
          </w:p>
        </w:tc>
        <w:tc>
          <w:tcPr>
            <w:tcW w:type="dxa" w:w="2000"/>
            <w:shd w:fill="F2F2F2" w:val="clear"/>
            <w:tcMar>
              <w:top w:type="dxa" w:w="80"/>
              <w:left w:type="dxa" w:w="100"/>
              <w:bottom w:type="dxa" w:w="80"/>
              <w:right w:type="dxa" w:w="100"/>
            </w:tcMar>
          </w:tcPr>
          <w:p>
            <w:r>
              <w:rPr>
                <w:b w:val="false"/>
                <w:bCs w:val="false"/>
                <w:sz w:val="20"/>
                <w:szCs w:val="20"/>
              </w:rPr>
              <w:t xml:space="preserve">Not addressed</w:t>
            </w:r>
          </w:p>
        </w:tc>
        <w:tc>
          <w:tcPr>
            <w:tcW w:type="dxa" w:w="2900"/>
            <w:shd w:fill="F2F2F2" w:val="clear"/>
            <w:tcMar>
              <w:top w:type="dxa" w:w="80"/>
              <w:left w:type="dxa" w:w="100"/>
              <w:bottom w:type="dxa" w:w="80"/>
              <w:right w:type="dxa" w:w="100"/>
            </w:tcMar>
          </w:tcPr>
          <w:p>
            <w:r>
              <w:rPr>
                <w:b w:val="false"/>
                <w:bCs w:val="false"/>
                <w:sz w:val="20"/>
                <w:szCs w:val="20"/>
              </w:rPr>
              <w:t xml:space="preserve">MEDIUM — a data-relative threshold does not transfer to a deployment with a different baseline load; the label itself, not just the model, would need redefinition</w:t>
            </w:r>
          </w:p>
        </w:tc>
      </w:tr>
      <w:tr>
        <w:tc>
          <w:tcPr>
            <w:tcW w:type="dxa" w:w="2000"/>
            <w:tcMar>
              <w:top w:type="dxa" w:w="80"/>
              <w:left w:type="dxa" w:w="100"/>
              <w:bottom w:type="dxa" w:w="80"/>
              <w:right w:type="dxa" w:w="100"/>
            </w:tcMar>
          </w:tcPr>
          <w:p>
            <w:r>
              <w:rPr>
                <w:b w:val="false"/>
                <w:bCs w:val="false"/>
                <w:sz w:val="20"/>
                <w:szCs w:val="20"/>
              </w:rPr>
              <w:t xml:space="preserve">Ground-truth label quality (simulator gives exact internal state; real networks measure via noisy counters/probes)</w:t>
            </w:r>
          </w:p>
        </w:tc>
        <w:tc>
          <w:tcPr>
            <w:tcW w:type="dxa" w:w="2600"/>
            <w:tcMar>
              <w:top w:type="dxa" w:w="80"/>
              <w:left w:type="dxa" w:w="100"/>
              <w:bottom w:type="dxa" w:w="80"/>
              <w:right w:type="dxa" w:w="100"/>
            </w:tcMar>
          </w:tcPr>
          <w:p>
            <w:r>
              <w:rPr>
                <w:b w:val="false"/>
                <w:bCs w:val="false"/>
                <w:sz w:val="20"/>
                <w:szCs w:val="20"/>
              </w:rPr>
              <w:t xml:space="preserve">Measurement delay, sampling error, and reporting granularity in real O&amp;M telemetry</w:t>
            </w:r>
          </w:p>
        </w:tc>
        <w:tc>
          <w:tcPr>
            <w:tcW w:type="dxa" w:w="2000"/>
            <w:tcMar>
              <w:top w:type="dxa" w:w="80"/>
              <w:left w:type="dxa" w:w="100"/>
              <w:bottom w:type="dxa" w:w="80"/>
              <w:right w:type="dxa" w:w="100"/>
            </w:tcMar>
          </w:tcPr>
          <w:p>
            <w:r>
              <w:rPr>
                <w:b w:val="false"/>
                <w:bCs w:val="false"/>
                <w:sz w:val="20"/>
                <w:szCs w:val="20"/>
              </w:rPr>
              <w:t xml:space="preserve">Not addressed</w:t>
            </w:r>
          </w:p>
        </w:tc>
        <w:tc>
          <w:tcPr>
            <w:tcW w:type="dxa" w:w="2900"/>
            <w:tcMar>
              <w:top w:type="dxa" w:w="80"/>
              <w:left w:type="dxa" w:w="100"/>
              <w:bottom w:type="dxa" w:w="80"/>
              <w:right w:type="dxa" w:w="100"/>
            </w:tcMar>
          </w:tcPr>
          <w:p>
            <w:r>
              <w:rPr>
                <w:b w:val="false"/>
                <w:bCs w:val="false"/>
                <w:sz w:val="20"/>
                <w:szCs w:val="20"/>
              </w:rPr>
              <w:t xml:space="preserve">MEDIUM-HIGH — every R² reported here benefits from noise-free labels; real deployment labels will already be noisier before any distribution shift is considered, lowering the achievable ceiling for all five models</w:t>
            </w:r>
          </w:p>
        </w:tc>
      </w:tr>
    </w:tbl>
    <w:p>
      <w:pPr>
        <w:spacing w:after="200" w:before="40"/>
      </w:pPr>
      <w:r>
        <w:rPr>
          <w:i/>
          <w:iCs/>
          <w:color w:val="555555"/>
          <w:sz w:val="20"/>
          <w:szCs w:val="20"/>
        </w:rPr>
        <w:t xml:space="preserve">Table 1 — Simulation design factors ranked by estimated contribution to a real-network performance gap.</w:t>
      </w:r>
    </w:p>
    <w:p>
      <w:pPr>
        <w:pStyle w:val="Heading1"/>
        <w:spacing w:after="160" w:before="400"/>
      </w:pPr>
      <w:r>
        <w:t xml:space="preserve">5. Reading the Sensitivity Ranking</w:t>
      </w:r>
    </w:p>
    <w:p>
      <w:pPr>
        <w:spacing w:after="160" w:line="276"/>
      </w:pPr>
      <w:r>
        <w:t xml:space="preserve">Ordered from most to least concerning for real-world transfer, based on Table 1:</w:t>
      </w:r>
    </w:p>
    <w:p>
      <w:pPr>
        <w:pStyle w:val="ListParagraph"/>
        <w:numPr>
          <w:ilvl w:val="0"/>
          <w:numId w:val="1"/>
        </w:numPr>
        <w:spacing w:after="80"/>
      </w:pPr>
      <w:r>
        <w:rPr>
          <w:b/>
          <w:bCs/>
        </w:rPr>
        <w:t xml:space="preserve">Highest risk — feature/label design and traffic-pattern coverage. </w:t>
      </w:r>
      <w:r>
        <w:t xml:space="preserve">These aren't hypothetical; the report's own numbers already show large swings (R² 0.97→0.04 for the GNN; a hard ceiling on Total_Throughput across every architecture) caused by exactly these factors, inside the simulator alone. A real network will not narrow these gaps — it will very likely widen them.</w:t>
      </w:r>
    </w:p>
    <w:p>
      <w:pPr>
        <w:pStyle w:val="ListParagraph"/>
        <w:numPr>
          <w:ilvl w:val="0"/>
          <w:numId w:val="1"/>
        </w:numPr>
        <w:spacing w:after="80"/>
      </w:pPr>
      <w:r>
        <w:rPr>
          <w:b/>
          <w:bCs/>
        </w:rPr>
        <w:t xml:space="preserve">Second — channel/PHY and ground-truth label fidelity. </w:t>
      </w:r>
      <w:r>
        <w:t xml:space="preserve">These affect every model equally since they sit upstream of the feature table, so no architecture choice can compensate for them; only a richer channel model or real-trace fine-tuning would.</w:t>
      </w:r>
    </w:p>
    <w:p>
      <w:pPr>
        <w:pStyle w:val="ListParagraph"/>
        <w:numPr>
          <w:ilvl w:val="0"/>
          <w:numId w:val="1"/>
        </w:numPr>
        <w:spacing w:after="80"/>
      </w:pPr>
      <w:r>
        <w:rPr>
          <w:b/>
          <w:bCs/>
        </w:rPr>
        <w:t xml:space="preserve">Third — scheduler and topology assumptions. </w:t>
      </w:r>
      <w:r>
        <w:t xml:space="preserve">These matter most for the GNN, whose entire value proposition (neighbour-aware message passing) rests on the graph structure being realistic; the model report's own generalization failure is consistent with this being a live issue rather than a theoretical one.</w:t>
      </w:r>
    </w:p>
    <w:p>
      <w:pPr>
        <w:pStyle w:val="ListParagraph"/>
        <w:numPr>
          <w:ilvl w:val="0"/>
          <w:numId w:val="1"/>
        </w:numPr>
        <w:spacing w:after="80"/>
      </w:pPr>
      <w:r>
        <w:rPr>
          <w:b/>
          <w:bCs/>
        </w:rPr>
        <w:t xml:space="preserve">Lowest determinable risk — time granularity. </w:t>
      </w:r>
      <w:r>
        <w:t xml:space="preserve">This is a deliberate, stated design choice with a known, bounded effect (caps the maximum reportable lead time at 1s), rather than an unexamined gap.</w:t>
      </w:r>
    </w:p>
    <w:p>
      <w:pPr>
        <w:spacing w:after="160" w:line="276"/>
      </w:pPr>
      <w:r>
        <w:rPr>
          <w:b/>
          <w:bCs/>
        </w:rPr>
        <w:t xml:space="preserve">Undetermined: </w:t>
      </w:r>
      <w:r>
        <w:t xml:space="preserve">mobility model, UE density, and cell count could not be rated because they are not documented in the available material. This is itself worth flagging — a report making generalization claims should state these parameters explicitly, since a single-cell, low-density simulation and a dense multi-cell one imply very different real-world transfer risk.</w:t>
      </w:r>
    </w:p>
    <w:p>
      <w:pPr>
        <w:pStyle w:val="Heading1"/>
        <w:spacing w:after="160" w:before="400"/>
      </w:pPr>
      <w:r>
        <w:t xml:space="preserve">6. Considerations Already Taken — What the Current Work Gets Right</w:t>
      </w:r>
    </w:p>
    <w:p>
      <w:pPr>
        <w:pStyle w:val="ListParagraph"/>
        <w:numPr>
          <w:ilvl w:val="0"/>
          <w:numId w:val="1"/>
        </w:numPr>
        <w:spacing w:after="80"/>
      </w:pPr>
      <w:r>
        <w:t xml:space="preserve">Cross-scenario evaluation (train on UDP-burst, test on unseen gradual-ramp) is a genuine, if narrow, generalization test rather than a same-distribution benchmark.</w:t>
      </w:r>
    </w:p>
    <w:p>
      <w:pPr>
        <w:pStyle w:val="ListParagraph"/>
        <w:numPr>
          <w:ilvl w:val="0"/>
          <w:numId w:val="1"/>
        </w:numPr>
        <w:spacing w:after="80"/>
      </w:pPr>
      <w:r>
        <w:t xml:space="preserve">StandardScaler fit only on training data avoids the common leakage mistake of fitting normalization on the full dataset.</w:t>
      </w:r>
    </w:p>
    <w:p>
      <w:pPr>
        <w:pStyle w:val="ListParagraph"/>
        <w:numPr>
          <w:ilvl w:val="0"/>
          <w:numId w:val="1"/>
        </w:numPr>
        <w:spacing w:after="80"/>
      </w:pPr>
      <w:r>
        <w:t xml:space="preserve">Five architecturally distinct models (two classical, three deep) were compared on identical data and labels — this isolates architecture-driven differences from pipeline-driven ones, which is exactly how the Total_Throughput ceiling was correctly identified as a data issue, not a model issue.</w:t>
      </w:r>
    </w:p>
    <w:p>
      <w:pPr>
        <w:pStyle w:val="ListParagraph"/>
        <w:numPr>
          <w:ilvl w:val="0"/>
          <w:numId w:val="1"/>
        </w:numPr>
        <w:spacing w:after="80"/>
      </w:pPr>
      <w:r>
        <w:t xml:space="preserve">The GNN's miscalibrated default threshold was caught and corrected via a systematic sweep rather than silently reporting a misleadingly bad number.</w:t>
      </w:r>
    </w:p>
    <w:p>
      <w:pPr>
        <w:pStyle w:val="ListParagraph"/>
        <w:numPr>
          <w:ilvl w:val="0"/>
          <w:numId w:val="1"/>
        </w:numPr>
        <w:spacing w:after="80"/>
      </w:pPr>
      <w:r>
        <w:t xml:space="preserve">The Section 6 contradiction (GNN wins on classification, fails on regression, on the same unseen scenario) was investigated and explained rather than left as an unexamined anomaly — this is exactly the kind of scrutiny that surfaces sim-to-real risk.</w:t>
      </w:r>
    </w:p>
    <w:p>
      <w:pPr>
        <w:pStyle w:val="Heading1"/>
        <w:spacing w:after="160" w:before="400"/>
      </w:pPr>
      <w:r>
        <w:t xml:space="preserve">7. Considerations Not Yet Taken — Consolidated Gap List</w:t>
      </w:r>
    </w:p>
    <w:p>
      <w:pPr>
        <w:pStyle w:val="ListParagraph"/>
        <w:numPr>
          <w:ilvl w:val="0"/>
          <w:numId w:val="1"/>
        </w:numPr>
        <w:spacing w:after="80"/>
      </w:pPr>
      <w:r>
        <w:t xml:space="preserve">No real-network trace, even a small one, has been used to calibrate or sanity-check any feature or label.</w:t>
      </w:r>
    </w:p>
    <w:p>
      <w:pPr>
        <w:pStyle w:val="ListParagraph"/>
        <w:numPr>
          <w:ilvl w:val="0"/>
          <w:numId w:val="1"/>
        </w:numPr>
        <w:spacing w:after="80"/>
      </w:pPr>
      <w:r>
        <w:t xml:space="preserve">Only two synthetic traffic shapes exist in the evaluation; there is no mixed/heterogeneous traffic scenario.</w:t>
      </w:r>
    </w:p>
    <w:p>
      <w:pPr>
        <w:pStyle w:val="ListParagraph"/>
        <w:numPr>
          <w:ilvl w:val="0"/>
          <w:numId w:val="1"/>
        </w:numPr>
        <w:spacing w:after="80"/>
      </w:pPr>
      <w:r>
        <w:t xml:space="preserve">Channel and scheduler models are fixed to Simu5G defaults — no sensitivity run varying these was performed.</w:t>
      </w:r>
    </w:p>
    <w:p>
      <w:pPr>
        <w:pStyle w:val="ListParagraph"/>
        <w:numPr>
          <w:ilvl w:val="0"/>
          <w:numId w:val="1"/>
        </w:numPr>
        <w:spacing w:after="80"/>
      </w:pPr>
      <w:r>
        <w:t xml:space="preserve">Graph construction for the GNN is static and fully-connected within a cell; no distance/SINR-weighted or multi-cell variant has been tried.</w:t>
      </w:r>
    </w:p>
    <w:p>
      <w:pPr>
        <w:pStyle w:val="ListParagraph"/>
        <w:numPr>
          <w:ilvl w:val="0"/>
          <w:numId w:val="1"/>
        </w:numPr>
        <w:spacing w:after="80"/>
      </w:pPr>
      <w:r>
        <w:t xml:space="preserve">Mobility, UE density, and cell-count parameters are not documented alongside the results, making it impossible for a reader (or this analysis) to judge deployment-scale realism.</w:t>
      </w:r>
    </w:p>
    <w:p>
      <w:pPr>
        <w:pStyle w:val="ListParagraph"/>
        <w:numPr>
          <w:ilvl w:val="0"/>
          <w:numId w:val="1"/>
        </w:numPr>
        <w:spacing w:after="80"/>
      </w:pPr>
      <w:r>
        <w:t xml:space="preserve">The congestion label is a statistical percentile of the training set, not an SLA-anchored physical threshold.</w:t>
      </w:r>
    </w:p>
    <w:p>
      <w:pPr>
        <w:pStyle w:val="ListParagraph"/>
        <w:numPr>
          <w:ilvl w:val="0"/>
          <w:numId w:val="1"/>
        </w:numPr>
        <w:spacing w:after="80"/>
      </w:pPr>
      <w:r>
        <w:t xml:space="preserve">No noise/measurement-error model has been applied to simulate the imperfect telemetry a real O&amp;M system would provide.</w:t>
      </w:r>
    </w:p>
    <w:p>
      <w:pPr>
        <w:pStyle w:val="Heading1"/>
        <w:spacing w:after="160" w:before="400"/>
      </w:pPr>
      <w:r>
        <w:t xml:space="preserve">8. Future Simulation and Modeling Considerations</w:t>
      </w:r>
    </w:p>
    <w:p>
      <w:pPr>
        <w:pStyle w:val="Heading2"/>
        <w:spacing w:after="120" w:before="300"/>
      </w:pPr>
      <w:r>
        <w:t xml:space="preserve">8.1 Narrowing the simulation-side gap</w:t>
      </w:r>
    </w:p>
    <w:p>
      <w:pPr>
        <w:pStyle w:val="ListParagraph"/>
        <w:numPr>
          <w:ilvl w:val="0"/>
          <w:numId w:val="1"/>
        </w:numPr>
        <w:spacing w:after="80"/>
      </w:pPr>
      <w:r>
        <w:rPr>
          <w:b/>
          <w:bCs/>
        </w:rPr>
        <w:t xml:space="preserve">Diversify traffic scenarios: </w:t>
      </w:r>
      <w:r>
        <w:t xml:space="preserve">add mixed application traffic, diurnal load variation, and multiple concurrent traffic classes rather than two hand-designed shapes.</w:t>
      </w:r>
    </w:p>
    <w:p>
      <w:pPr>
        <w:pStyle w:val="ListParagraph"/>
        <w:numPr>
          <w:ilvl w:val="0"/>
          <w:numId w:val="1"/>
        </w:numPr>
        <w:spacing w:after="80"/>
      </w:pPr>
      <w:r>
        <w:rPr>
          <w:b/>
          <w:bCs/>
        </w:rPr>
        <w:t xml:space="preserve">Vary channel and scheduler configuration: </w:t>
      </w:r>
      <w:r>
        <w:t xml:space="preserve">run the same models across several Simu5G scheduler/channel-model configurations to measure how much of the current performance is scheduler-specific.</w:t>
      </w:r>
    </w:p>
    <w:p>
      <w:pPr>
        <w:pStyle w:val="ListParagraph"/>
        <w:numPr>
          <w:ilvl w:val="0"/>
          <w:numId w:val="1"/>
        </w:numPr>
        <w:spacing w:after="80"/>
      </w:pPr>
      <w:r>
        <w:rPr>
          <w:b/>
          <w:bCs/>
        </w:rPr>
        <w:t xml:space="preserve">Scale up topology: </w:t>
      </w:r>
      <w:r>
        <w:t xml:space="preserve">multi-cell simulation with handovers and inter-cell interference, and explicit reporting of UE count and cell count so results are reproducible and their scope is clear.</w:t>
      </w:r>
    </w:p>
    <w:p>
      <w:pPr>
        <w:pStyle w:val="ListParagraph"/>
        <w:numPr>
          <w:ilvl w:val="0"/>
          <w:numId w:val="1"/>
        </w:numPr>
        <w:spacing w:after="80"/>
      </w:pPr>
      <w:r>
        <w:rPr>
          <w:b/>
          <w:bCs/>
        </w:rPr>
        <w:t xml:space="preserve">Inject synthetic measurement noise: </w:t>
      </w:r>
      <w:r>
        <w:t xml:space="preserve">perturb simulator-perfect labels with a realistic noise/delay model before training, as a cheap proxy for real telemetry imperfection.</w:t>
      </w:r>
    </w:p>
    <w:p>
      <w:pPr>
        <w:pStyle w:val="Heading2"/>
        <w:spacing w:after="120" w:before="300"/>
      </w:pPr>
      <w:r>
        <w:t xml:space="preserve">8.2 Narrowing the modeling-side gap</w:t>
      </w:r>
    </w:p>
    <w:p>
      <w:pPr>
        <w:pStyle w:val="ListParagraph"/>
        <w:numPr>
          <w:ilvl w:val="0"/>
          <w:numId w:val="1"/>
        </w:numPr>
        <w:spacing w:after="80"/>
      </w:pPr>
      <w:r>
        <w:rPr>
          <w:b/>
          <w:bCs/>
        </w:rPr>
        <w:t xml:space="preserve">SINR/distance-weighted GNN edges: </w:t>
      </w:r>
      <w:r>
        <w:t xml:space="preserve">replace the fully-connected same-cell graph with a weighted one, addressing the likely root cause of the GNN's regression collapse.</w:t>
      </w:r>
    </w:p>
    <w:p>
      <w:pPr>
        <w:pStyle w:val="ListParagraph"/>
        <w:numPr>
          <w:ilvl w:val="0"/>
          <w:numId w:val="1"/>
        </w:numPr>
        <w:spacing w:after="80"/>
      </w:pPr>
      <w:r>
        <w:rPr>
          <w:b/>
          <w:bCs/>
        </w:rPr>
        <w:t xml:space="preserve">Fix the throughput label definition: </w:t>
      </w:r>
      <w:r>
        <w:t xml:space="preserve">convert Total_Throughput to a genuine per-bin rate rather than a cumulative counter before retraining, since this already caps every architecture.</w:t>
      </w:r>
    </w:p>
    <w:p>
      <w:pPr>
        <w:pStyle w:val="ListParagraph"/>
        <w:numPr>
          <w:ilvl w:val="0"/>
          <w:numId w:val="1"/>
        </w:numPr>
        <w:spacing w:after="80"/>
      </w:pPr>
      <w:r>
        <w:rPr>
          <w:b/>
          <w:bCs/>
        </w:rPr>
        <w:t xml:space="preserve">End-to-end classification objective: </w:t>
      </w:r>
      <w:r>
        <w:t xml:space="preserve">replace the post-hoc sigmoid-threshold conversion with a model trained directly for the binary congestion objective, removing scenario-specific threshold tuning.</w:t>
      </w:r>
    </w:p>
    <w:p>
      <w:pPr>
        <w:pStyle w:val="ListParagraph"/>
        <w:numPr>
          <w:ilvl w:val="0"/>
          <w:numId w:val="1"/>
        </w:numPr>
        <w:spacing w:after="80"/>
      </w:pPr>
      <w:r>
        <w:rPr>
          <w:b/>
          <w:bCs/>
        </w:rPr>
        <w:t xml:space="preserve">Domain randomization: </w:t>
      </w:r>
      <w:r>
        <w:t xml:space="preserve">train across randomized simulator parameters (traffic mix, mobility, interference draws) so the model is less anchored to any single configuration.</w:t>
      </w:r>
    </w:p>
    <w:p>
      <w:pPr>
        <w:pStyle w:val="Heading2"/>
        <w:spacing w:after="120" w:before="300"/>
      </w:pPr>
      <w:r>
        <w:t xml:space="preserve">8.3 Bridging to real deployment</w:t>
      </w:r>
    </w:p>
    <w:p>
      <w:pPr>
        <w:pStyle w:val="ListParagraph"/>
        <w:numPr>
          <w:ilvl w:val="0"/>
          <w:numId w:val="1"/>
        </w:numPr>
        <w:spacing w:after="80"/>
      </w:pPr>
      <w:r>
        <w:rPr>
          <w:b/>
          <w:bCs/>
        </w:rPr>
        <w:t xml:space="preserve">Small real-trace validation set: </w:t>
      </w:r>
      <w:r>
        <w:t xml:space="preserve">even a modest set of field KPI logs, used only for evaluation (not training), would convert every “estimated sensitivity” in Table 1 into a measured number.</w:t>
      </w:r>
    </w:p>
    <w:p>
      <w:pPr>
        <w:pStyle w:val="ListParagraph"/>
        <w:numPr>
          <w:ilvl w:val="0"/>
          <w:numId w:val="1"/>
        </w:numPr>
        <w:spacing w:after="80"/>
      </w:pPr>
      <w:r>
        <w:rPr>
          <w:b/>
          <w:bCs/>
        </w:rPr>
        <w:t xml:space="preserve">Fine-tuning / domain adaptation: </w:t>
      </w:r>
      <w:r>
        <w:t xml:space="preserve">if real traces become available, fine-tune the simulation-trained models rather than retraining from scratch, and report both pre- and post-adaptation metrics.</w:t>
      </w:r>
    </w:p>
    <w:p>
      <w:pPr>
        <w:pStyle w:val="ListParagraph"/>
        <w:numPr>
          <w:ilvl w:val="0"/>
          <w:numId w:val="1"/>
        </w:numPr>
        <w:spacing w:after="80"/>
      </w:pPr>
      <w:r>
        <w:rPr>
          <w:b/>
          <w:bCs/>
        </w:rPr>
        <w:t xml:space="preserve">Calibrated uncertainty: </w:t>
      </w:r>
      <w:r>
        <w:t xml:space="preserve">add a learned calibration layer (Platt scaling / isotonic regression) so confidence estimates degrade gracefully rather than silently when the input distribution shifts.</w:t>
      </w:r>
    </w:p>
    <w:p>
      <w:pPr>
        <w:pStyle w:val="Heading1"/>
        <w:spacing w:after="160" w:before="400"/>
      </w:pPr>
      <w:r>
        <w:t xml:space="preserve">9. Conclusion and Recommended Framing</w:t>
      </w:r>
    </w:p>
    <w:p>
      <w:pPr>
        <w:spacing w:after="160" w:line="276"/>
      </w:pPr>
      <w:r>
        <w:t xml:space="preserve">The models in the source report are evaluated carefully and the results are internally trustworthy: they measure, with real methodological rigor, how well five architectures predict congestion under the physics and traffic patterns that OMNeT++/Simu5G actually implements. What they do not yet measure — and cannot, without real-network data — is how well that prediction ability survives contact with real radio propagation, real scheduler implementations, real multi-cell interference, and noisier telemetry.</w:t>
      </w:r>
    </w:p>
    <w:p>
      <w:pPr>
        <w:spacing w:after="160" w:line="276"/>
      </w:pPr>
      <w:r>
        <w:t xml:space="preserve">The strongest evidence for how large that gap could be already sits inside the existing report: a single traffic-pattern shift, entirely within the simulator, was enough to collapse the GNN's regression R² from 0.97 to 0.04, and all three deep architectures independently hit the same ceiling on Total_Throughput. If simulation-internal shifts already move results this much, a shift to real-network data — which changes the channel model, scheduler, topology, and label noise simultaneously — should be expected to move them further, not less.</w:t>
      </w:r>
    </w:p>
    <w:p>
      <w:pPr>
        <w:spacing w:after="160" w:line="276"/>
      </w:pPr>
      <w:r>
        <w:rPr>
          <w:b/>
          <w:bCs/>
        </w:rPr>
        <w:t xml:space="preserve">For the write-up or viva, the defensible framing is: </w:t>
      </w:r>
      <w:r>
        <w:t xml:space="preserve">“these results are a rigorous measurement of relative model performance under a specific, documented simulation configuration; the two highest-leverage next steps for real-world credibility are (1) fixing the Total_Throughput label design, which already caps every model, and (2) validating against even a small real-network trace, which would convert this report's qualitative sensitivity ranking into a measured sim-to-real gap.”</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400"/>
    </w:pPr>
    <w:rPr>
      <w:b/>
      <w:bCs/>
      <w:color w:val="1F3864"/>
      <w:sz w:val="30"/>
      <w:szCs w:val="30"/>
    </w:rPr>
  </w:style>
  <w:style w:type="paragraph" w:styleId="Heading2">
    <w:name w:val="Heading 2"/>
    <w:basedOn w:val="Normal"/>
    <w:next w:val="Normal"/>
    <w:pPr>
      <w:spacing w:after="120" w:before="280"/>
    </w:pPr>
    <w:rPr>
      <w:b/>
      <w:bCs/>
      <w:color w:val="2F5496"/>
      <w:sz w:val="26"/>
      <w:szCs w:val="26"/>
    </w:rPr>
  </w:style>
  <w:style w:type="paragraph" w:styleId="Heading3">
    <w:name w:val="Heading 3"/>
    <w:basedOn w:val="Normal"/>
    <w:next w:val="Normal"/>
    <w:pPr>
      <w:spacing w:after="100" w:before="220"/>
    </w:pPr>
    <w:rPr>
      <w:b/>
      <w:bCs/>
      <w:color w:val="2F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2026-07-12T17:25:38.490Z</dcterms:created>
  <dcterms:modified xsi:type="dcterms:W3CDTF">2026-07-12T17:25:38.542Z</dcterms:modified>
</cp:coreProperties>
</file>

<file path=docProps/custom.xml><?xml version="1.0" encoding="utf-8"?>
<Properties xmlns="http://schemas.openxmlformats.org/officeDocument/2006/custom-properties" xmlns:vt="http://schemas.openxmlformats.org/officeDocument/2006/docPropsVTypes"/>
</file>