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C3E50"/>
          <w:sz w:val="40"/>
          <w:szCs w:val="40"/>
        </w:rPr>
        <w:t xml:space="preserve">E-Commerce Return Rate Reduction Analysis</w:t>
      </w:r>
    </w:p>
    <w:p>
      <w:pPr>
        <w:spacing w:after="400"/>
      </w:pPr>
      <w:r>
        <w:rPr>
          <w:i/>
          <w:iCs/>
          <w:color w:val="595959"/>
          <w:sz w:val="22"/>
          <w:szCs w:val="22"/>
        </w:rPr>
        <w:t xml:space="preserve">Data Analytics Portfolio Project — Python, Power BI, Predictive Modeling</w:t>
      </w:r>
    </w:p>
    <w:p>
      <w:pPr>
        <w:pStyle w:val="Heading1"/>
        <w:spacing w:after="150" w:before="300"/>
      </w:pPr>
      <w:r>
        <w:t xml:space="preserve">1. Objective</w:t>
      </w:r>
    </w:p>
    <w:p>
      <w:pPr>
        <w:spacing w:after="160"/>
      </w:pPr>
      <w:r>
        <w:t xml:space="preserve">This project analyzes 5,000 e-commerce orders to identify why customers return products and how return rates vary across product category, geography, discount level, shipping method, and payment method. A logistic regression model was built to estimate return risk at the order and product level, and the results were integrated into an interactive 4-page Power BI dashboard.</w:t>
      </w:r>
    </w:p>
    <w:p>
      <w:pPr>
        <w:pStyle w:val="Heading1"/>
        <w:spacing w:after="150" w:before="300"/>
      </w:pPr>
      <w:r>
        <w:t xml:space="preserve">2. Data &amp; Methodology</w:t>
      </w:r>
    </w:p>
    <w:p>
      <w:pPr>
        <w:spacing w:after="160"/>
      </w:pPr>
      <w:r>
        <w:t xml:space="preserve">The dataset (returns_sustainability_dataset.csv) contains 5,000 orders spanning 2022–2025 across 5 product categories and 100 customer locations, with no missing values or duplicate records. Analysis was performed in Python (pandas, scikit-learn, seaborn) and visualized in Power BI.</w:t>
      </w:r>
    </w:p>
    <w:p>
      <w:pPr>
        <w:spacing w:after="160"/>
      </w:pPr>
      <w:r>
        <w:rPr>
          <w:i/>
          <w:iCs/>
          <w:color w:val="595959"/>
          <w:sz w:val="20"/>
          <w:szCs w:val="20"/>
        </w:rPr>
        <w:t xml:space="preserve">Note on scope: the dataset does not include explicit Supplier or Marketing Channel fields. Product_Category and User_Location were used as the closest available proxies for supplier-level and geographic analysis respectively.</w:t>
      </w:r>
    </w:p>
    <w:p>
      <w:pPr>
        <w:pStyle w:val="Heading1"/>
        <w:spacing w:after="150" w:before="300"/>
      </w:pPr>
      <w:r>
        <w:t xml:space="preserve">3. Key Findings</w:t>
      </w:r>
    </w:p>
    <w:p>
      <w:pPr>
        <w:pStyle w:val="Heading2"/>
        <w:spacing w:after="120" w:before="240"/>
      </w:pPr>
      <w:r>
        <w:t xml:space="preserve">3.1 Overall Return Rate</w:t>
      </w:r>
    </w:p>
    <w:p>
      <w:pPr>
        <w:spacing w:after="160"/>
      </w:pPr>
      <w:r>
        <w:t xml:space="preserve">29.0% of all orders were returned — a high rate that justifies a dedicated reduction initiative.</w:t>
      </w:r>
    </w:p>
    <w:p>
      <w:pPr>
        <w:pStyle w:val="Heading2"/>
        <w:spacing w:after="120" w:before="240"/>
      </w:pPr>
      <w:r>
        <w:t xml:space="preserve">3.2 Return Rate by Category</w:t>
      </w:r>
    </w:p>
    <w:p>
      <w:pPr>
        <w:spacing w:after="160"/>
      </w:pPr>
      <w:r>
        <w:t xml:space="preserve">Clothing has the highest return rate at 37.4%, well above the other four categories (24–26%). This is the single highest-leverage category for return reduction efforts.</w:t>
      </w:r>
    </w:p>
    <w:p>
      <w:pPr>
        <w:pStyle w:val="Heading2"/>
        <w:spacing w:after="120" w:before="240"/>
      </w:pPr>
      <w:r>
        <w:t xml:space="preserve">3.3 Discount Level Strongly Predicts Returns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00"/>
      </w:tblGrid>
      <w:tr>
        <w:tc>
          <w:tcPr>
            <w:tcW w:type="dxa" w:w="2200"/>
            <w:shd w:fill="2C3E50" w:val="clear"/>
          </w:tcPr>
          <w:p>
            <w:r>
              <w:rPr>
                <w:b/>
                <w:bCs/>
                <w:color w:val="FFFFFF"/>
                <w:sz w:val="20"/>
                <w:szCs w:val="20"/>
              </w:rPr>
              <w:t xml:space="preserve">Discount Band</w:t>
            </w:r>
          </w:p>
        </w:tc>
        <w:tc>
          <w:tcPr>
            <w:tcW w:type="dxa" w:w="2200"/>
            <w:shd w:fill="2C3E50" w:val="clear"/>
          </w:tcPr>
          <w:p>
            <w:r>
              <w:rPr>
                <w:b/>
                <w:bCs/>
                <w:color w:val="FFFFFF"/>
                <w:sz w:val="20"/>
                <w:szCs w:val="20"/>
              </w:rPr>
              <w:t xml:space="preserve">Total Orders</w:t>
            </w:r>
          </w:p>
        </w:tc>
        <w:tc>
          <w:tcPr>
            <w:tcW w:type="dxa" w:w="2200"/>
            <w:shd w:fill="2C3E50" w:val="clear"/>
          </w:tcPr>
          <w:p>
            <w:r>
              <w:rPr>
                <w:b/>
                <w:bCs/>
                <w:color w:val="FFFFFF"/>
                <w:sz w:val="20"/>
                <w:szCs w:val="20"/>
              </w:rPr>
              <w:t xml:space="preserve">Returned</w:t>
            </w:r>
          </w:p>
        </w:tc>
        <w:tc>
          <w:tcPr>
            <w:tcW w:type="dxa" w:w="2400"/>
            <w:shd w:fill="2C3E50" w:val="clear"/>
          </w:tcPr>
          <w:p>
            <w:r>
              <w:rPr>
                <w:b/>
                <w:bCs/>
                <w:color w:val="FFFFFF"/>
                <w:sz w:val="20"/>
                <w:szCs w:val="20"/>
              </w:rPr>
              <w:t xml:space="preserve">Return Rate</w:t>
            </w:r>
          </w:p>
        </w:tc>
      </w:tr>
      <w:tr>
        <w:tc>
          <w:tcPr>
            <w:tcW w:type="dxa" w:w="2200"/>
          </w:tcPr>
          <w:p>
            <w:r>
              <w:rPr>
                <w:b w:val="false"/>
                <w:bCs w:val="false"/>
                <w:color w:val="000000"/>
                <w:sz w:val="20"/>
                <w:szCs w:val="20"/>
              </w:rPr>
              <w:t xml:space="preserve">0–10%</w:t>
            </w:r>
          </w:p>
        </w:tc>
        <w:tc>
          <w:tcPr>
            <w:tcW w:type="dxa" w:w="2200"/>
          </w:tcPr>
          <w:p>
            <w:r>
              <w:rPr>
                <w:b w:val="false"/>
                <w:bCs w:val="false"/>
                <w:color w:val="000000"/>
                <w:sz w:val="20"/>
                <w:szCs w:val="20"/>
              </w:rPr>
              <w:t xml:space="preserve">977</w:t>
            </w:r>
          </w:p>
        </w:tc>
        <w:tc>
          <w:tcPr>
            <w:tcW w:type="dxa" w:w="2200"/>
          </w:tcPr>
          <w:p>
            <w:r>
              <w:rPr>
                <w:b w:val="false"/>
                <w:bCs w:val="false"/>
                <w:color w:val="000000"/>
                <w:sz w:val="20"/>
                <w:szCs w:val="20"/>
              </w:rPr>
              <w:t xml:space="preserve">235</w:t>
            </w:r>
          </w:p>
        </w:tc>
        <w:tc>
          <w:tcPr>
            <w:tcW w:type="dxa" w:w="2400"/>
          </w:tcPr>
          <w:p>
            <w:r>
              <w:rPr>
                <w:b w:val="false"/>
                <w:bCs w:val="false"/>
                <w:color w:val="000000"/>
                <w:sz w:val="20"/>
                <w:szCs w:val="20"/>
              </w:rPr>
              <w:t xml:space="preserve">24.1%</w:t>
            </w:r>
          </w:p>
        </w:tc>
      </w:tr>
      <w:tr>
        <w:tc>
          <w:tcPr>
            <w:tcW w:type="dxa" w:w="2200"/>
          </w:tcPr>
          <w:p>
            <w:r>
              <w:rPr>
                <w:b w:val="false"/>
                <w:bCs w:val="false"/>
                <w:color w:val="000000"/>
                <w:sz w:val="20"/>
                <w:szCs w:val="20"/>
              </w:rPr>
              <w:t xml:space="preserve">11–20%</w:t>
            </w:r>
          </w:p>
        </w:tc>
        <w:tc>
          <w:tcPr>
            <w:tcW w:type="dxa" w:w="2200"/>
          </w:tcPr>
          <w:p>
            <w:r>
              <w:rPr>
                <w:b w:val="false"/>
                <w:bCs w:val="false"/>
                <w:color w:val="000000"/>
                <w:sz w:val="20"/>
                <w:szCs w:val="20"/>
              </w:rPr>
              <w:t xml:space="preserve">1,005</w:t>
            </w:r>
          </w:p>
        </w:tc>
        <w:tc>
          <w:tcPr>
            <w:tcW w:type="dxa" w:w="2200"/>
          </w:tcPr>
          <w:p>
            <w:r>
              <w:rPr>
                <w:b w:val="false"/>
                <w:bCs w:val="false"/>
                <w:color w:val="000000"/>
                <w:sz w:val="20"/>
                <w:szCs w:val="20"/>
              </w:rPr>
              <w:t xml:space="preserve">270</w:t>
            </w:r>
          </w:p>
        </w:tc>
        <w:tc>
          <w:tcPr>
            <w:tcW w:type="dxa" w:w="2400"/>
          </w:tcPr>
          <w:p>
            <w:r>
              <w:rPr>
                <w:b w:val="false"/>
                <w:bCs w:val="false"/>
                <w:color w:val="000000"/>
                <w:sz w:val="20"/>
                <w:szCs w:val="20"/>
              </w:rPr>
              <w:t xml:space="preserve">26.9%</w:t>
            </w:r>
          </w:p>
        </w:tc>
      </w:tr>
      <w:tr>
        <w:tc>
          <w:tcPr>
            <w:tcW w:type="dxa" w:w="2200"/>
          </w:tcPr>
          <w:p>
            <w:r>
              <w:rPr>
                <w:b w:val="false"/>
                <w:bCs w:val="false"/>
                <w:color w:val="000000"/>
                <w:sz w:val="20"/>
                <w:szCs w:val="20"/>
              </w:rPr>
              <w:t xml:space="preserve">21–30%</w:t>
            </w:r>
          </w:p>
        </w:tc>
        <w:tc>
          <w:tcPr>
            <w:tcW w:type="dxa" w:w="2200"/>
          </w:tcPr>
          <w:p>
            <w:r>
              <w:rPr>
                <w:b w:val="false"/>
                <w:bCs w:val="false"/>
                <w:color w:val="000000"/>
                <w:sz w:val="20"/>
                <w:szCs w:val="20"/>
              </w:rPr>
              <w:t xml:space="preserve">1,054</w:t>
            </w:r>
          </w:p>
        </w:tc>
        <w:tc>
          <w:tcPr>
            <w:tcW w:type="dxa" w:w="2200"/>
          </w:tcPr>
          <w:p>
            <w:r>
              <w:rPr>
                <w:b w:val="false"/>
                <w:bCs w:val="false"/>
                <w:color w:val="000000"/>
                <w:sz w:val="20"/>
                <w:szCs w:val="20"/>
              </w:rPr>
              <w:t xml:space="preserve">273</w:t>
            </w:r>
          </w:p>
        </w:tc>
        <w:tc>
          <w:tcPr>
            <w:tcW w:type="dxa" w:w="2400"/>
          </w:tcPr>
          <w:p>
            <w:r>
              <w:rPr>
                <w:b w:val="false"/>
                <w:bCs w:val="false"/>
                <w:color w:val="000000"/>
                <w:sz w:val="20"/>
                <w:szCs w:val="20"/>
              </w:rPr>
              <w:t xml:space="preserve">25.9%</w:t>
            </w:r>
          </w:p>
        </w:tc>
      </w:tr>
      <w:tr>
        <w:tc>
          <w:tcPr>
            <w:tcW w:type="dxa" w:w="2200"/>
          </w:tcPr>
          <w:p>
            <w:r>
              <w:rPr>
                <w:b w:val="false"/>
                <w:bCs w:val="false"/>
                <w:color w:val="000000"/>
                <w:sz w:val="20"/>
                <w:szCs w:val="20"/>
              </w:rPr>
              <w:t xml:space="preserve">31–40%</w:t>
            </w:r>
          </w:p>
        </w:tc>
        <w:tc>
          <w:tcPr>
            <w:tcW w:type="dxa" w:w="2200"/>
          </w:tcPr>
          <w:p>
            <w:r>
              <w:rPr>
                <w:b w:val="false"/>
                <w:bCs w:val="false"/>
                <w:color w:val="000000"/>
                <w:sz w:val="20"/>
                <w:szCs w:val="20"/>
              </w:rPr>
              <w:t xml:space="preserve">943</w:t>
            </w:r>
          </w:p>
        </w:tc>
        <w:tc>
          <w:tcPr>
            <w:tcW w:type="dxa" w:w="2200"/>
          </w:tcPr>
          <w:p>
            <w:r>
              <w:rPr>
                <w:b w:val="false"/>
                <w:bCs w:val="false"/>
                <w:color w:val="000000"/>
                <w:sz w:val="20"/>
                <w:szCs w:val="20"/>
              </w:rPr>
              <w:t xml:space="preserve">332</w:t>
            </w:r>
          </w:p>
        </w:tc>
        <w:tc>
          <w:tcPr>
            <w:tcW w:type="dxa" w:w="2400"/>
          </w:tcPr>
          <w:p>
            <w:r>
              <w:rPr>
                <w:b w:val="false"/>
                <w:bCs w:val="false"/>
                <w:color w:val="000000"/>
                <w:sz w:val="20"/>
                <w:szCs w:val="20"/>
              </w:rPr>
              <w:t xml:space="preserve">35.2%</w:t>
            </w:r>
          </w:p>
        </w:tc>
      </w:tr>
      <w:tr>
        <w:tc>
          <w:tcPr>
            <w:tcW w:type="dxa" w:w="2200"/>
          </w:tcPr>
          <w:p>
            <w:r>
              <w:rPr>
                <w:b w:val="false"/>
                <w:bCs w:val="false"/>
                <w:color w:val="000000"/>
                <w:sz w:val="20"/>
                <w:szCs w:val="20"/>
              </w:rPr>
              <w:t xml:space="preserve">41–50%</w:t>
            </w:r>
          </w:p>
        </w:tc>
        <w:tc>
          <w:tcPr>
            <w:tcW w:type="dxa" w:w="2200"/>
          </w:tcPr>
          <w:p>
            <w:r>
              <w:rPr>
                <w:b w:val="false"/>
                <w:bCs w:val="false"/>
                <w:color w:val="000000"/>
                <w:sz w:val="20"/>
                <w:szCs w:val="20"/>
              </w:rPr>
              <w:t xml:space="preserve">1,021</w:t>
            </w:r>
          </w:p>
        </w:tc>
        <w:tc>
          <w:tcPr>
            <w:tcW w:type="dxa" w:w="2200"/>
          </w:tcPr>
          <w:p>
            <w:r>
              <w:rPr>
                <w:b w:val="false"/>
                <w:bCs w:val="false"/>
                <w:color w:val="000000"/>
                <w:sz w:val="20"/>
                <w:szCs w:val="20"/>
              </w:rPr>
              <w:t xml:space="preserve">340</w:t>
            </w:r>
          </w:p>
        </w:tc>
        <w:tc>
          <w:tcPr>
            <w:tcW w:type="dxa" w:w="2400"/>
          </w:tcPr>
          <w:p>
            <w:r>
              <w:rPr>
                <w:b w:val="false"/>
                <w:bCs w:val="false"/>
                <w:color w:val="000000"/>
                <w:sz w:val="20"/>
                <w:szCs w:val="20"/>
              </w:rPr>
              <w:t xml:space="preserve">33.3%</w:t>
            </w:r>
          </w:p>
        </w:tc>
      </w:tr>
    </w:tbl>
    <w:p>
      <w:pPr>
        <w:spacing w:after="160"/>
      </w:pPr>
    </w:p>
    <w:p>
      <w:pPr>
        <w:spacing w:after="160"/>
      </w:pPr>
      <w:r>
        <w:t xml:space="preserve">Return rate rises sharply from 24.1% at low discounts to 33–35% at high discounts. Deep discounting appears to attract lower-commitment purchases, making this the most actionable and defensible finding in the analysis.</w:t>
      </w:r>
    </w:p>
    <w:p>
      <w:pPr>
        <w:pStyle w:val="Heading2"/>
        <w:spacing w:after="120" w:before="240"/>
      </w:pPr>
      <w:r>
        <w:t xml:space="preserve">3.4 Geographic Variability</w:t>
      </w:r>
    </w:p>
    <w:p>
      <w:pPr>
        <w:spacing w:after="160"/>
      </w:pPr>
      <w:r>
        <w:t xml:space="preserve">Return rate ranges from roughly 14% to 50% across customer locations with sufficient order volume (minimum 20 orders) — a spread wide enough to warrant a regional review with logistics and fulfillment teams.</w:t>
      </w:r>
    </w:p>
    <w:p>
      <w:pPr>
        <w:pStyle w:val="Heading2"/>
        <w:spacing w:after="120" w:before="240"/>
      </w:pPr>
      <w:r>
        <w:t xml:space="preserve">3.5 Return Reasons</w:t>
      </w:r>
    </w:p>
    <w:p>
      <w:pPr>
        <w:spacing w:after="160"/>
      </w:pPr>
      <w:r>
        <w:t xml:space="preserve">Reasons split nearly evenly across Defective (26%), Changed Mind (26%), Wrong Item (24%), and Size Issue (24%). No single fix will resolve returns — both quality control and customer-expectation-setting (product photos, sizing guidance, descriptions) need attention.</w:t>
      </w:r>
    </w:p>
    <w:p>
      <w:pPr>
        <w:pStyle w:val="Heading2"/>
        <w:spacing w:after="120" w:before="240"/>
      </w:pPr>
      <w:r>
        <w:t xml:space="preserve">3.6 Weak Levers: Shipping &amp; Payment Method</w:t>
      </w:r>
    </w:p>
    <w:p>
      <w:pPr>
        <w:spacing w:after="160"/>
      </w:pPr>
      <w:r>
        <w:t xml:space="preserve">Return rate differences across shipping methods (28.5–29.4%) and payment methods (27–31%) are small. These are not meaningful levers for return reduction and should not be prioritized.</w:t>
      </w:r>
    </w:p>
    <w:p>
      <w:pPr>
        <w:pStyle w:val="Heading2"/>
        <w:spacing w:after="120" w:before="240"/>
      </w:pPr>
      <w:r>
        <w:t xml:space="preserve">3.7 Financial &amp; Sustainability Impact</w:t>
      </w:r>
    </w:p>
    <w:p>
      <w:pPr>
        <w:spacing w:after="160"/>
      </w:pPr>
      <w:r>
        <w:t xml:space="preserve">Returns cost the business approximately ₹2,90,000 in total, averaging ₹200 per return. Returned orders also carry lower average profit than kept orders. Every return additionally generates CO2 emissions and packaging waste from reverse logistics with no offsetting environmental savings — returns are a pure cost, both financially and environmentally.</w:t>
      </w:r>
    </w:p>
    <w:p>
      <w:pPr>
        <w:pStyle w:val="Heading1"/>
        <w:spacing w:after="150" w:before="300"/>
      </w:pPr>
      <w:r>
        <w:t xml:space="preserve">4. Predictive Model: Return Risk Scoring</w:t>
      </w:r>
    </w:p>
    <w:p>
      <w:pPr>
        <w:spacing w:after="160"/>
      </w:pPr>
      <w:r>
        <w:t xml:space="preserve">A logistic regression model was trained to predict the probability of return using only pre-purchase features (category, price, discount, shipping method, payment method, and customer demographics), explicitly excluding any fields that are only known after a return occurs (return reason, days-to-return, return cost, profit/loss, and sustainability metrics) to avoid data leakage.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C3E50" w:val="clear"/>
          </w:tcPr>
          <w:p>
            <w:r>
              <w:rPr>
                <w:b/>
                <w:bCs/>
                <w:color w:val="FFFFFF"/>
                <w:sz w:val="20"/>
                <w:szCs w:val="20"/>
              </w:rPr>
              <w:t xml:space="preserve">Metric</w:t>
            </w:r>
          </w:p>
        </w:tc>
        <w:tc>
          <w:tcPr>
            <w:tcW w:type="dxa" w:w="4500"/>
            <w:shd w:fill="2C3E50" w:val="clear"/>
          </w:tcPr>
          <w:p>
            <w:r>
              <w:rPr>
                <w:b/>
                <w:bCs/>
                <w:color w:val="FFFFFF"/>
                <w:sz w:val="20"/>
                <w:szCs w:val="20"/>
              </w:rPr>
              <w:t xml:space="preserve">Value</w:t>
            </w:r>
          </w:p>
        </w:tc>
      </w:tr>
      <w:tr>
        <w:tc>
          <w:tcPr>
            <w:tcW w:type="dxa" w:w="4500"/>
          </w:tcPr>
          <w:p>
            <w:r>
              <w:rPr>
                <w:b w:val="false"/>
                <w:bCs w:val="false"/>
                <w:color w:val="000000"/>
                <w:sz w:val="20"/>
                <w:szCs w:val="20"/>
              </w:rPr>
              <w:t xml:space="preserve">Accuracy</w:t>
            </w:r>
          </w:p>
        </w:tc>
        <w:tc>
          <w:tcPr>
            <w:tcW w:type="dxa" w:w="4500"/>
          </w:tcPr>
          <w:p>
            <w:r>
              <w:rPr>
                <w:b w:val="false"/>
                <w:bCs w:val="false"/>
                <w:color w:val="000000"/>
                <w:sz w:val="20"/>
                <w:szCs w:val="20"/>
              </w:rPr>
              <w:t xml:space="preserve">~0.55–0.60</w:t>
            </w:r>
          </w:p>
        </w:tc>
      </w:tr>
      <w:tr>
        <w:tc>
          <w:tcPr>
            <w:tcW w:type="dxa" w:w="4500"/>
          </w:tcPr>
          <w:p>
            <w:r>
              <w:rPr>
                <w:b w:val="false"/>
                <w:bCs w:val="false"/>
                <w:color w:val="000000"/>
                <w:sz w:val="20"/>
                <w:szCs w:val="20"/>
              </w:rPr>
              <w:t xml:space="preserve">ROC AUC</w:t>
            </w:r>
          </w:p>
        </w:tc>
        <w:tc>
          <w:tcPr>
            <w:tcW w:type="dxa" w:w="4500"/>
          </w:tcPr>
          <w:p>
            <w:r>
              <w:rPr>
                <w:b w:val="false"/>
                <w:bCs w:val="false"/>
                <w:color w:val="000000"/>
                <w:sz w:val="20"/>
                <w:szCs w:val="20"/>
              </w:rPr>
              <w:t xml:space="preserve">0.60</w:t>
            </w:r>
          </w:p>
        </w:tc>
      </w:tr>
      <w:tr>
        <w:tc>
          <w:tcPr>
            <w:tcW w:type="dxa" w:w="4500"/>
          </w:tcPr>
          <w:p>
            <w:r>
              <w:rPr>
                <w:b w:val="false"/>
                <w:bCs w:val="false"/>
                <w:color w:val="000000"/>
                <w:sz w:val="20"/>
                <w:szCs w:val="20"/>
              </w:rPr>
              <w:t xml:space="preserve">Top drivers</w:t>
            </w:r>
          </w:p>
        </w:tc>
        <w:tc>
          <w:tcPr>
            <w:tcW w:type="dxa" w:w="4500"/>
          </w:tcPr>
          <w:p>
            <w:r>
              <w:rPr>
                <w:b w:val="false"/>
                <w:bCs w:val="false"/>
                <w:color w:val="000000"/>
                <w:sz w:val="20"/>
                <w:szCs w:val="20"/>
              </w:rPr>
              <w:t xml:space="preserve">Product_Category (Clothing), Discount_Applied</w:t>
            </w:r>
          </w:p>
        </w:tc>
      </w:tr>
    </w:tbl>
    <w:p>
      <w:pPr>
        <w:spacing w:after="160"/>
      </w:pPr>
    </w:p>
    <w:p>
      <w:pPr>
        <w:spacing w:after="160"/>
      </w:pPr>
      <w:r>
        <w:t xml:space="preserve">An AUC of 0.60 indicates the model has weak-to-moderate predictive power — the available pre-purchase fields alone are not strongly separable. Real-world return prediction typically benefits from richer features such as customer return history, product review data, and size-chart deviation. The model should be treated as a directional risk-ranking tool for prioritizing manual review, not a high-precision classifier. Notably, its top coefficients (Clothing category, discount level) independently confirm the same patterns found in the descriptive analysis, which supports the reliability of the underlying signal even though overall discriminative power is limited.</w:t>
      </w:r>
    </w:p>
    <w:p>
      <w:pPr>
        <w:pStyle w:val="Heading1"/>
        <w:spacing w:after="150" w:before="300"/>
      </w:pPr>
      <w:r>
        <w:t xml:space="preserve">5. Power BI Dashboard</w:t>
      </w:r>
    </w:p>
    <w:p>
      <w:pPr>
        <w:spacing w:after="160"/>
      </w:pPr>
      <w:r>
        <w:t xml:space="preserve">A 4-page interactive dashboard was built from the scored dataset:</w:t>
      </w:r>
    </w:p>
    <w:p>
      <w:pPr>
        <w:pStyle w:val="ListParagraph"/>
        <w:numPr>
          <w:ilvl w:val="0"/>
          <w:numId w:val="2"/>
        </w:numPr>
        <w:spacing w:after="80"/>
      </w:pPr>
      <w:r>
        <w:t xml:space="preserve">Executive Overview — KPI cards (orders, return rate, return cost, net profit), monthly return-rate trend, returned vs. kept split</w:t>
      </w:r>
    </w:p>
    <w:p>
      <w:pPr>
        <w:pStyle w:val="ListParagraph"/>
        <w:numPr>
          <w:ilvl w:val="0"/>
          <w:numId w:val="2"/>
        </w:numPr>
        <w:spacing w:after="80"/>
      </w:pPr>
      <w:r>
        <w:t xml:space="preserve">Root Cause Analysis — return rate by category, reason, geography, discount band, shipping, and payment method, with a category slicer for drill-down</w:t>
      </w:r>
    </w:p>
    <w:p>
      <w:pPr>
        <w:pStyle w:val="ListParagraph"/>
        <w:numPr>
          <w:ilvl w:val="0"/>
          <w:numId w:val="2"/>
        </w:numPr>
        <w:spacing w:after="80"/>
      </w:pPr>
      <w:r>
        <w:t xml:space="preserve">Risk &amp; Prediction — risk score distribution, price-vs-risk scatter plot, and a high-risk product watchlist table with drill-through to order-level detail</w:t>
      </w:r>
    </w:p>
    <w:p>
      <w:pPr>
        <w:pStyle w:val="ListParagraph"/>
        <w:numPr>
          <w:ilvl w:val="0"/>
          <w:numId w:val="2"/>
        </w:numPr>
        <w:spacing w:after="80"/>
      </w:pPr>
      <w:r>
        <w:t xml:space="preserve">Financial &amp; Sustainability Impact — return cost, profit/loss comparison, and CO2/packaging waste by return status</w:t>
      </w:r>
    </w:p>
    <w:p>
      <w:pPr>
        <w:pStyle w:val="Heading1"/>
        <w:spacing w:after="150" w:before="300"/>
      </w:pPr>
      <w:r>
        <w:t xml:space="preserve">6. Recommendations</w:t>
      </w:r>
    </w:p>
    <w:p>
      <w:pPr>
        <w:pStyle w:val="ListParagraph"/>
        <w:numPr>
          <w:ilvl w:val="0"/>
          <w:numId w:val="2"/>
        </w:numPr>
        <w:spacing w:after="80"/>
      </w:pPr>
      <w:r>
        <w:t xml:space="preserve">Prioritize Clothing category for return reduction: improve size guides, add size-recommendation tools, and clarify product photography.</w:t>
      </w:r>
    </w:p>
    <w:p>
      <w:pPr>
        <w:pStyle w:val="ListParagraph"/>
        <w:numPr>
          <w:ilvl w:val="0"/>
          <w:numId w:val="2"/>
        </w:numPr>
        <w:spacing w:after="80"/>
      </w:pPr>
      <w:r>
        <w:t xml:space="preserve">Reassess deep-discount promotions (31%+ off): consider stricter return windows or additional product-fit information at checkout for heavily discounted items.</w:t>
      </w:r>
    </w:p>
    <w:p>
      <w:pPr>
        <w:pStyle w:val="ListParagraph"/>
        <w:numPr>
          <w:ilvl w:val="0"/>
          <w:numId w:val="2"/>
        </w:numPr>
        <w:spacing w:after="80"/>
      </w:pPr>
      <w:r>
        <w:t xml:space="preserve">Investigate high-return-rate locations with logistics/fulfillment teams to identify regional courier or delivery-damage issues.</w:t>
      </w:r>
    </w:p>
    <w:p>
      <w:pPr>
        <w:pStyle w:val="ListParagraph"/>
        <w:numPr>
          <w:ilvl w:val="0"/>
          <w:numId w:val="2"/>
        </w:numPr>
        <w:spacing w:after="80"/>
      </w:pPr>
      <w:r>
        <w:t xml:space="preserve">Do not prioritize shipping or payment method changes — the return-rate impact is minimal.</w:t>
      </w:r>
    </w:p>
    <w:p>
      <w:pPr>
        <w:pStyle w:val="ListParagraph"/>
        <w:numPr>
          <w:ilvl w:val="0"/>
          <w:numId w:val="2"/>
        </w:numPr>
        <w:spacing w:after="80"/>
      </w:pPr>
      <w:r>
        <w:t xml:space="preserve">Use the risk-scoring model as a prioritization tool for manual product review, not as a standalone automated decision system, given its modest accuracy.</w:t>
      </w:r>
    </w:p>
    <w:p>
      <w:pPr>
        <w:pStyle w:val="Heading1"/>
        <w:spacing w:after="150" w:before="300"/>
      </w:pPr>
      <w:r>
        <w:t xml:space="preserve">7. Deliverables</w:t>
      </w:r>
    </w:p>
    <w:p>
      <w:pPr>
        <w:pStyle w:val="ListParagraph"/>
        <w:numPr>
          <w:ilvl w:val="0"/>
          <w:numId w:val="2"/>
        </w:numPr>
        <w:spacing w:after="80"/>
      </w:pPr>
      <w:r>
        <w:t xml:space="preserve">Python codebase: full cleaning, EDA, and logistic regression pipeline (Jupyter notebook + .py script)</w:t>
      </w:r>
    </w:p>
    <w:p>
      <w:pPr>
        <w:pStyle w:val="ListParagraph"/>
        <w:numPr>
          <w:ilvl w:val="0"/>
          <w:numId w:val="2"/>
        </w:numPr>
        <w:spacing w:after="80"/>
      </w:pPr>
      <w:r>
        <w:t xml:space="preserve">high_risk_products.csv — flagged high-risk products for review</w:t>
      </w:r>
    </w:p>
    <w:p>
      <w:pPr>
        <w:pStyle w:val="ListParagraph"/>
        <w:numPr>
          <w:ilvl w:val="0"/>
          <w:numId w:val="2"/>
        </w:numPr>
        <w:spacing w:after="80"/>
      </w:pPr>
      <w:r>
        <w:t xml:space="preserve">powerbi_dataset_scored.csv — full order-level dataset with return risk scores</w:t>
      </w:r>
    </w:p>
    <w:p>
      <w:pPr>
        <w:pStyle w:val="ListParagraph"/>
        <w:numPr>
          <w:ilvl w:val="0"/>
          <w:numId w:val="2"/>
        </w:numPr>
        <w:spacing w:after="80"/>
      </w:pPr>
      <w:r>
        <w:t xml:space="preserve">4-page interactive Power BI dashboard (.pbix)</w:t>
      </w:r>
    </w:p>
    <w:p>
      <w:pPr>
        <w:spacing w:before="400"/>
      </w:pPr>
    </w:p>
    <w:p>
      <w:pPr>
        <w:pBdr>
          <w:top w:val="single" w:color="CCCCCC" w:sz="6"/>
        </w:pBdr>
        <w:spacing w:before="200"/>
      </w:pPr>
      <w:r>
        <w:rPr>
          <w:i/>
          <w:iCs/>
          <w:color w:val="595959"/>
          <w:sz w:val="18"/>
          <w:szCs w:val="18"/>
        </w:rPr>
        <w:t xml:space="preserve">Prepared as part of a Data Analyst portfolio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2026-08-31T07:51:02.379Z</dcterms:created>
  <dcterms:modified xsi:type="dcterms:W3CDTF">2026-08-31T07:51:02.395Z</dcterms:modified>
</cp:coreProperties>
</file>

<file path=docProps/custom.xml><?xml version="1.0" encoding="utf-8"?>
<Properties xmlns="http://schemas.openxmlformats.org/officeDocument/2006/custom-properties" xmlns:vt="http://schemas.openxmlformats.org/officeDocument/2006/docPropsVTypes"/>
</file>