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F4E79"/>
          <w:sz w:val="48"/>
          <w:szCs w:val="48"/>
        </w:rPr>
        <w:t xml:space="preserve">Short Strangle Strategy</w:t>
      </w:r>
    </w:p>
    <w:p>
      <w:pPr>
        <w:spacing w:after="400"/>
        <w:jc w:val="center"/>
      </w:pPr>
      <w:r>
        <w:rPr>
          <w:color w:val="2E75B6"/>
          <w:sz w:val="32"/>
          <w:szCs w:val="32"/>
        </w:rPr>
        <w:t xml:space="preserve">Complete Indicator &amp; Backtest Framework</w:t>
      </w:r>
    </w:p>
    <w:p>
      <w:pPr>
        <w:spacing w:after="200"/>
        <w:jc w:val="center"/>
      </w:pPr>
      <w:r>
        <w:rPr>
          <w:i/>
          <w:iCs/>
          <w:color w:val="595959"/>
          <w:sz w:val="24"/>
          <w:szCs w:val="24"/>
        </w:rPr>
        <w:t xml:space="preserve">Comprehensive Discussion Summary</w:t>
      </w:r>
    </w:p>
    <w:p>
      <w:pPr>
        <w:spacing w:after="1000"/>
        <w:jc w:val="center"/>
      </w:pPr>
      <w:r>
        <w:rPr>
          <w:color w:val="595959"/>
          <w:sz w:val="22"/>
          <w:szCs w:val="22"/>
        </w:rPr>
        <w:t xml:space="preserve">BTC Options on Delta Exchange India</w:t>
      </w:r>
    </w:p>
    <w:p>
      <w:pPr>
        <w:spacing w:after="400"/>
        <w:jc w:val="center"/>
      </w:pPr>
      <w:r>
        <w:rPr>
          <w:i/>
          <w:iCs/>
          <w:sz w:val="22"/>
          <w:szCs w:val="22"/>
        </w:rPr>
        <w:t xml:space="preserve">This document covers every concept, formula, framework, and architectural decision discussed across the entire conversation about building a short strangle trading and backtesting system. Use it as a study reference and platform-design map.</w:t>
      </w:r>
    </w:p>
    <w:p>
      <w:r>
        <w:br w:type="page"/>
      </w:r>
    </w:p>
    <w:p>
      <w:pPr>
        <w:pStyle w:val="Heading1"/>
        <w:spacing w:after="200" w:before="360"/>
      </w:pPr>
      <w:r>
        <w:t xml:space="preserve">1. How Spot Price Affects Option Premium</w:t>
      </w:r>
    </w:p>
    <w:p>
      <w:pPr>
        <w:pStyle w:val="Heading3"/>
        <w:spacing w:after="120" w:before="220"/>
      </w:pPr>
      <w:r>
        <w:t xml:space="preserve">Premium structure</w:t>
      </w:r>
    </w:p>
    <w:p>
      <w:pPr>
        <w:shd w:fill="F2F2F2" w:val="clear"/>
        <w:spacing w:after="80" w:before="80"/>
      </w:pPr>
      <w:r>
        <w:rPr>
          <w:rFonts w:ascii="Consolas" w:cs="Consolas" w:eastAsia="Consolas" w:hAnsi="Consolas"/>
          <w:sz w:val="20"/>
          <w:szCs w:val="20"/>
        </w:rPr>
        <w:t xml:space="preserve">Premium = Intrinsic Value + Extrinsic Value</w:t>
      </w:r>
    </w:p>
    <w:p>
      <w:pPr>
        <w:pStyle w:val="ListParagraph"/>
        <w:numPr>
          <w:ilvl w:val="0"/>
          <w:numId w:val="2"/>
        </w:numPr>
        <w:spacing w:after="40" w:before="40"/>
      </w:pPr>
      <w:r>
        <w:t xml:space="preserve">ITM call: intrinsic = max(spot − strike, 0); has both components</w:t>
      </w:r>
    </w:p>
    <w:p>
      <w:pPr>
        <w:pStyle w:val="ListParagraph"/>
        <w:numPr>
          <w:ilvl w:val="0"/>
          <w:numId w:val="2"/>
        </w:numPr>
        <w:spacing w:after="40" w:before="40"/>
      </w:pPr>
      <w:r>
        <w:t xml:space="preserve">ATM: zero intrinsic, peak extrinsic</w:t>
      </w:r>
    </w:p>
    <w:p>
      <w:pPr>
        <w:pStyle w:val="ListParagraph"/>
        <w:numPr>
          <w:ilvl w:val="0"/>
          <w:numId w:val="2"/>
        </w:numPr>
        <w:spacing w:after="40" w:before="40"/>
      </w:pPr>
      <w:r>
        <w:t xml:space="preserve">OTM (your strangle strikes): zero intrinsic, 100% extrinsic (time + IV)</w:t>
      </w:r>
    </w:p>
    <w:p>
      <w:pPr>
        <w:pStyle w:val="Heading3"/>
        <w:spacing w:after="120" w:before="220"/>
      </w:pPr>
      <w:r>
        <w:t xml:space="preserve">Spot defines premium scale linearly</w:t>
      </w:r>
    </w:p>
    <w:p>
      <w:pPr>
        <w:spacing w:after="80" w:before="80"/>
      </w:pPr>
      <w:r>
        <w:t xml:space="preserve">When IV, DTE, and moneyness % are held constant, premium scales 1:1 with spot.</w:t>
      </w:r>
    </w:p>
    <w:p>
      <w:pPr>
        <w:pStyle w:val="ListParagraph"/>
        <w:numPr>
          <w:ilvl w:val="0"/>
          <w:numId w:val="2"/>
        </w:numPr>
        <w:spacing w:after="40" w:before="40"/>
      </w:pPr>
      <w:r>
        <w:t xml:space="preserve">BTC at $70k, ATM 7DTE 25% IV → ~$610 premium</w:t>
      </w:r>
    </w:p>
    <w:p>
      <w:pPr>
        <w:pStyle w:val="ListParagraph"/>
        <w:numPr>
          <w:ilvl w:val="0"/>
          <w:numId w:val="2"/>
        </w:numPr>
        <w:spacing w:after="40" w:before="40"/>
      </w:pPr>
      <w:r>
        <w:t xml:space="preserve">BTC at $100k, ATM 7DTE 25% IV → ~$870 premium</w:t>
      </w:r>
    </w:p>
    <w:p>
      <w:pPr>
        <w:pStyle w:val="ListParagraph"/>
        <w:numPr>
          <w:ilvl w:val="0"/>
          <w:numId w:val="2"/>
        </w:numPr>
        <w:spacing w:after="40" w:before="40"/>
      </w:pPr>
      <w:r>
        <w:t xml:space="preserve">Both = 0.87% of spot (identical structural richness)</w:t>
      </w:r>
    </w:p>
    <w:p>
      <w:pPr>
        <w:pStyle w:val="Heading3"/>
        <w:spacing w:after="120" w:before="220"/>
      </w:pPr>
      <w:r>
        <w:t xml:space="preserve">Delta and Gamma drive premium changes</w:t>
      </w:r>
    </w:p>
    <w:p>
      <w:pPr>
        <w:pStyle w:val="ListParagraph"/>
        <w:numPr>
          <w:ilvl w:val="0"/>
          <w:numId w:val="2"/>
        </w:numPr>
        <w:spacing w:after="40" w:before="40"/>
      </w:pPr>
      <w:r>
        <w:t xml:space="preserve">Delta = premium change per $1 spot move</w:t>
      </w:r>
    </w:p>
    <w:p>
      <w:pPr>
        <w:pStyle w:val="ListParagraph"/>
        <w:numPr>
          <w:ilvl w:val="0"/>
          <w:numId w:val="2"/>
        </w:numPr>
        <w:spacing w:after="40" w:before="40"/>
      </w:pPr>
      <w:r>
        <w:t xml:space="preserve">Gamma = how fast delta itself changes (the killer for short strangles)</w:t>
      </w:r>
    </w:p>
    <w:p>
      <w:pPr>
        <w:pStyle w:val="ListParagraph"/>
        <w:numPr>
          <w:ilvl w:val="0"/>
          <w:numId w:val="2"/>
        </w:numPr>
        <w:spacing w:after="40" w:before="40"/>
      </w:pPr>
      <w:r>
        <w:t xml:space="preserve">ATM call delta ≈ 0.50; OTM .10Δ moves ~$0.10 per $1 spot</w:t>
      </w:r>
    </w:p>
    <w:p>
      <w:pPr>
        <w:pStyle w:val="ListParagraph"/>
        <w:numPr>
          <w:ilvl w:val="0"/>
          <w:numId w:val="2"/>
        </w:numPr>
        <w:spacing w:after="40" w:before="40"/>
      </w:pPr>
      <w:r>
        <w:t xml:space="preserve">Gamma accelerates as spot approaches strike — short gamma compounds losses</w:t>
      </w:r>
    </w:p>
    <w:p>
      <w:pPr>
        <w:pStyle w:val="Heading1"/>
        <w:spacing w:after="200" w:before="360"/>
      </w:pPr>
      <w:r>
        <w:t xml:space="preserve">2. Why You Cannot Cleanly Isolate Spot's Contribution</w:t>
      </w:r>
    </w:p>
    <w:p>
      <w:pPr>
        <w:spacing w:after="80" w:before="80"/>
      </w:pPr>
      <w:r>
        <w:t xml:space="preserve">Spot isn't a Greek — it's the baseline every other factor scales against. It determines:</w:t>
      </w:r>
    </w:p>
    <w:p>
      <w:pPr>
        <w:pStyle w:val="ListParagraph"/>
        <w:numPr>
          <w:ilvl w:val="0"/>
          <w:numId w:val="2"/>
        </w:numPr>
        <w:spacing w:after="40" w:before="40"/>
      </w:pPr>
      <w:r>
        <w:t xml:space="preserve">What "ATM" means</w:t>
      </w:r>
    </w:p>
    <w:p>
      <w:pPr>
        <w:pStyle w:val="ListParagraph"/>
        <w:numPr>
          <w:ilvl w:val="0"/>
          <w:numId w:val="2"/>
        </w:numPr>
        <w:spacing w:after="40" w:before="40"/>
      </w:pPr>
      <w:r>
        <w:t xml:space="preserve">Strike distance in % terms</w:t>
      </w:r>
    </w:p>
    <w:p>
      <w:pPr>
        <w:pStyle w:val="ListParagraph"/>
        <w:numPr>
          <w:ilvl w:val="0"/>
          <w:numId w:val="2"/>
        </w:numPr>
        <w:spacing w:after="40" w:before="40"/>
      </w:pPr>
      <w:r>
        <w:t xml:space="preserve">Dollar value of each IV point</w:t>
      </w:r>
    </w:p>
    <w:p>
      <w:pPr>
        <w:pStyle w:val="ListParagraph"/>
        <w:numPr>
          <w:ilvl w:val="0"/>
          <w:numId w:val="2"/>
        </w:numPr>
        <w:spacing w:after="40" w:before="40"/>
      </w:pPr>
      <w:r>
        <w:t xml:space="preserve">Scale of every other Greek</w:t>
      </w:r>
    </w:p>
    <w:p>
      <w:pPr>
        <w:spacing w:after="80" w:before="80"/>
      </w:pPr>
      <w:r>
        <w:t xml:space="preserve">You can decompose premium changes via Greeks (Δdelta, Δgamma, etc.), but base premium itself can't be split into 'spot's share' vs 'IV's share' — they multiply, not add.</w:t>
      </w:r>
    </w:p>
    <w:p>
      <w:pPr>
        <w:spacing w:after="80" w:before="80"/>
      </w:pPr>
      <w:r>
        <w:rPr>
          <w:b/>
          <w:bCs/>
        </w:rPr>
        <w:t xml:space="preserve">The right mental model:</w:t>
      </w:r>
    </w:p>
    <w:p>
      <w:pPr>
        <w:shd w:fill="F2F2F2" w:val="clear"/>
        <w:spacing w:after="80" w:before="80"/>
      </w:pPr>
      <w:r>
        <w:rPr>
          <w:rFonts w:ascii="Consolas" w:cs="Consolas" w:eastAsia="Consolas" w:hAnsi="Consolas"/>
          <w:sz w:val="20"/>
          <w:szCs w:val="20"/>
        </w:rPr>
        <w:t xml:space="preserve">Premium ($) = Premium (in spot %) × Spot</w:t>
      </w:r>
    </w:p>
    <w:p>
      <w:pPr>
        <w:spacing w:after="80" w:before="80"/>
      </w:pPr>
      <w:r>
        <w:t xml:space="preserve">The 'in spot %' portion is determined by IV, DTE, and moneyness; spot just scales it.</w:t>
      </w:r>
    </w:p>
    <w:p>
      <w:pPr>
        <w:pStyle w:val="Heading1"/>
        <w:spacing w:after="200" w:before="360"/>
      </w:pPr>
      <w:r>
        <w:t xml:space="preserve">3. Why Credit % (Not Absolute Dollars)</w:t>
      </w:r>
    </w:p>
    <w:p>
      <w:pPr>
        <w:spacing w:after="80" w:before="80"/>
      </w:pPr>
      <w:r>
        <w:t xml:space="preserve">Same dollar credit at different spot levels = different yield on dollar-risk:</w:t>
      </w:r>
    </w:p>
    <w:p>
      <w:pPr>
        <w:pStyle w:val="ListParagraph"/>
        <w:numPr>
          <w:ilvl w:val="0"/>
          <w:numId w:val="2"/>
        </w:numPr>
        <w:spacing w:after="40" w:before="40"/>
      </w:pPr>
      <w:r>
        <w:t xml:space="preserve">$500 at $70k = 0.71% (better)</w:t>
      </w:r>
    </w:p>
    <w:p>
      <w:pPr>
        <w:pStyle w:val="ListParagraph"/>
        <w:numPr>
          <w:ilvl w:val="0"/>
          <w:numId w:val="2"/>
        </w:numPr>
        <w:spacing w:after="40" w:before="40"/>
      </w:pPr>
      <w:r>
        <w:t xml:space="preserve">$500 at $100k = 0.50% (worse — same pay for more notional risk)</w:t>
      </w:r>
    </w:p>
    <w:p>
      <w:pPr>
        <w:spacing w:after="80" w:before="80"/>
      </w:pPr>
      <w:r>
        <w:t xml:space="preserve">Credit % = Credit / Spot × 100 is your 'yield' on notional exposure — apples-to-apples across regimes.</w:t>
      </w:r>
    </w:p>
    <w:p>
      <w:pPr>
        <w:spacing w:after="80" w:before="80"/>
      </w:pPr>
      <w:r>
        <w:rPr>
          <w:b/>
          <w:bCs/>
        </w:rPr>
        <w:t xml:space="preserve">Use spot at entry (not winners' spot, not average — that introduces survivorship bias).</w:t>
      </w:r>
    </w:p>
    <w:p>
      <w:pPr>
        <w:pStyle w:val="Heading1"/>
        <w:spacing w:after="200" w:before="360"/>
      </w:pPr>
      <w:r>
        <w:t xml:space="preserve">4. Baseline Construction — Two Medians</w:t>
      </w:r>
    </w:p>
    <w:p>
      <w:pPr>
        <w:spacing w:after="80" w:before="80"/>
      </w:pPr>
      <w:r>
        <w:t xml:space="preserve">From your entry log, compute two separate baselines:</w:t>
      </w:r>
    </w:p>
    <w:p>
      <w:pPr>
        <w:pStyle w:val="ListParagraph"/>
        <w:numPr>
          <w:ilvl w:val="0"/>
          <w:numId w:val="2"/>
        </w:numPr>
        <w:spacing w:after="40" w:before="40"/>
      </w:pPr>
      <w:r>
        <w:rPr>
          <w:b/>
          <w:bCs/>
        </w:rPr>
        <w:t xml:space="preserve">Baseline A — All entries: </w:t>
      </w:r>
      <w:r>
        <w:t xml:space="preserve">Median Credit % = your typical entry richness</w:t>
      </w:r>
    </w:p>
    <w:p>
      <w:pPr>
        <w:pStyle w:val="ListParagraph"/>
        <w:numPr>
          <w:ilvl w:val="0"/>
          <w:numId w:val="2"/>
        </w:numPr>
        <w:spacing w:after="40" w:before="40"/>
      </w:pPr>
      <w:r>
        <w:rPr>
          <w:b/>
          <w:bCs/>
        </w:rPr>
        <w:t xml:space="preserve">Baseline B — Winners only: </w:t>
      </w:r>
      <w:r>
        <w:t xml:space="preserve">Median Credit % = your edge threshold</w:t>
      </w:r>
    </w:p>
    <w:p>
      <w:pPr>
        <w:spacing w:after="80" w:before="80"/>
      </w:pPr>
      <w:r>
        <w:t xml:space="preserve">The gap between them is your edge signal. Use winners' median as the entry filter: don't trade unless current credit % ≥ winners' threshold.</w:t>
      </w:r>
    </w:p>
    <w:p>
      <w:pPr>
        <w:pStyle w:val="Heading3"/>
        <w:spacing w:after="120" w:before="220"/>
      </w:pPr>
      <w:r>
        <w:t xml:space="preserve">Sample size warning</w:t>
      </w:r>
    </w:p>
    <w:p>
      <w:pPr>
        <w:pStyle w:val="ListParagraph"/>
        <w:numPr>
          <w:ilvl w:val="0"/>
          <w:numId w:val="2"/>
        </w:numPr>
        <w:spacing w:after="40" w:before="40"/>
      </w:pPr>
      <w:r>
        <w:t xml:space="preserve">&lt; 10 entries: use 0.50% as placeholder</w:t>
      </w:r>
    </w:p>
    <w:p>
      <w:pPr>
        <w:pStyle w:val="ListParagraph"/>
        <w:numPr>
          <w:ilvl w:val="0"/>
          <w:numId w:val="2"/>
        </w:numPr>
        <w:spacing w:after="40" w:before="40"/>
      </w:pPr>
      <w:r>
        <w:t xml:space="preserve">10-25: use medians but apply Bayesian shrinkage toward priors</w:t>
      </w:r>
    </w:p>
    <w:p>
      <w:pPr>
        <w:pStyle w:val="ListParagraph"/>
        <w:numPr>
          <w:ilvl w:val="0"/>
          <w:numId w:val="2"/>
        </w:numPr>
        <w:spacing w:after="40" w:before="40"/>
      </w:pPr>
      <w:r>
        <w:t xml:space="preserve">25+: trust your stats; segment by pattern</w:t>
      </w:r>
    </w:p>
    <w:p>
      <w:pPr>
        <w:pStyle w:val="Heading1"/>
        <w:spacing w:after="200" w:before="360"/>
      </w:pPr>
      <w:r>
        <w:t xml:space="preserve">5. Z-Score and IVP — Combining Them</w:t>
      </w:r>
    </w:p>
    <w:p>
      <w:pPr>
        <w:pStyle w:val="Heading3"/>
        <w:spacing w:after="120" w:before="220"/>
      </w:pPr>
      <w:r>
        <w:t xml:space="preserve">Z-score</w:t>
      </w:r>
    </w:p>
    <w:p>
      <w:pPr>
        <w:spacing w:after="80" w:before="80"/>
      </w:pPr>
      <w:r>
        <w:t xml:space="preserve">How many standard deviations a value is from the mean.</w:t>
      </w:r>
    </w:p>
    <w:p>
      <w:pPr>
        <w:shd w:fill="F2F2F2" w:val="clear"/>
        <w:spacing w:after="80" w:before="80"/>
      </w:pPr>
      <w:r>
        <w:rPr>
          <w:rFonts w:ascii="Consolas" w:cs="Consolas" w:eastAsia="Consolas" w:hAnsi="Consolas"/>
          <w:sz w:val="20"/>
          <w:szCs w:val="20"/>
        </w:rPr>
        <w:t xml:space="preserve">z = (today_value − mean) / std</w:t>
      </w:r>
    </w:p>
    <w:p>
      <w:pPr>
        <w:pStyle w:val="ListParagraph"/>
        <w:numPr>
          <w:ilvl w:val="0"/>
          <w:numId w:val="2"/>
        </w:numPr>
        <w:spacing w:after="40" w:before="40"/>
      </w:pPr>
      <w:r>
        <w:t xml:space="preserve">z = +1 → top 16% (rich)</w:t>
      </w:r>
    </w:p>
    <w:p>
      <w:pPr>
        <w:pStyle w:val="ListParagraph"/>
        <w:numPr>
          <w:ilvl w:val="0"/>
          <w:numId w:val="2"/>
        </w:numPr>
        <w:spacing w:after="40" w:before="40"/>
      </w:pPr>
      <w:r>
        <w:t xml:space="preserve">z = +2 → top 2.5% (very rich)</w:t>
      </w:r>
    </w:p>
    <w:p>
      <w:pPr>
        <w:pStyle w:val="Heading3"/>
        <w:spacing w:after="120" w:before="220"/>
      </w:pPr>
      <w:r>
        <w:t xml:space="preserve">IVP</w:t>
      </w:r>
    </w:p>
    <w:p>
      <w:pPr>
        <w:spacing w:after="80" w:before="80"/>
      </w:pPr>
      <w:r>
        <w:t xml:space="preserve">Where current IV sits in its own 90-day history (already 0-100, regime-self-normalizing).</w:t>
      </w:r>
    </w:p>
    <w:p>
      <w:pPr>
        <w:pStyle w:val="Heading3"/>
        <w:spacing w:after="120" w:before="220"/>
      </w:pPr>
      <w:r>
        <w:t xml:space="preserve">Why combine them — each has a blind spot</w:t>
      </w:r>
    </w:p>
    <w:p>
      <w:pPr>
        <w:pStyle w:val="ListParagraph"/>
        <w:numPr>
          <w:ilvl w:val="0"/>
          <w:numId w:val="2"/>
        </w:numPr>
        <w:spacing w:after="40" w:before="40"/>
      </w:pPr>
      <w:r>
        <w:t xml:space="preserve">Credit % alone → doesn't know IV regime</w:t>
      </w:r>
    </w:p>
    <w:p>
      <w:pPr>
        <w:pStyle w:val="ListParagraph"/>
        <w:numPr>
          <w:ilvl w:val="0"/>
          <w:numId w:val="2"/>
        </w:numPr>
        <w:spacing w:after="40" w:before="40"/>
      </w:pPr>
      <w:r>
        <w:t xml:space="preserve">Z-score alone → self-referential, drifts with limited history</w:t>
      </w:r>
    </w:p>
    <w:p>
      <w:pPr>
        <w:pStyle w:val="ListParagraph"/>
        <w:numPr>
          <w:ilvl w:val="0"/>
          <w:numId w:val="2"/>
        </w:numPr>
        <w:spacing w:after="40" w:before="40"/>
      </w:pPr>
      <w:r>
        <w:t xml:space="preserve">IVP alone → doesn't know your specific strangle structure</w:t>
      </w:r>
    </w:p>
    <w:p>
      <w:pPr>
        <w:pStyle w:val="Heading3"/>
        <w:spacing w:after="120" w:before="220"/>
      </w:pPr>
      <w:r>
        <w:t xml:space="preserve">Composite quality score</w:t>
      </w:r>
    </w:p>
    <w:p>
      <w:pPr>
        <w:shd w:fill="F2F2F2" w:val="clear"/>
        <w:spacing w:after="80" w:before="80"/>
      </w:pPr>
      <w:r>
        <w:rPr>
          <w:rFonts w:ascii="Consolas" w:cs="Consolas" w:eastAsia="Consolas" w:hAnsi="Consolas"/>
          <w:sz w:val="20"/>
          <w:szCs w:val="20"/>
        </w:rPr>
        <w:t xml:space="preserve">Quality = 0.25·z_all_pct + 0.30·z_winner_pct + 0.30·IVP + 0.15·pattern_winrate</w:t>
      </w:r>
    </w:p>
    <w:p>
      <w:pPr>
        <w:pStyle w:val="ListParagraph"/>
        <w:numPr>
          <w:ilvl w:val="0"/>
          <w:numId w:val="2"/>
        </w:numPr>
        <w:spacing w:after="40" w:before="40"/>
      </w:pPr>
      <w:r>
        <w:t xml:space="preserve">≥75 → strong entry, full size</w:t>
      </w:r>
    </w:p>
    <w:p>
      <w:pPr>
        <w:pStyle w:val="ListParagraph"/>
        <w:numPr>
          <w:ilvl w:val="0"/>
          <w:numId w:val="2"/>
        </w:numPr>
        <w:spacing w:after="40" w:before="40"/>
      </w:pPr>
      <w:r>
        <w:t xml:space="preserve">60-75 → standard</w:t>
      </w:r>
    </w:p>
    <w:p>
      <w:pPr>
        <w:pStyle w:val="ListParagraph"/>
        <w:numPr>
          <w:ilvl w:val="0"/>
          <w:numId w:val="2"/>
        </w:numPr>
        <w:spacing w:after="40" w:before="40"/>
      </w:pPr>
      <w:r>
        <w:t xml:space="preserve">45-60 → marginal, half size</w:t>
      </w:r>
    </w:p>
    <w:p>
      <w:pPr>
        <w:pStyle w:val="ListParagraph"/>
        <w:numPr>
          <w:ilvl w:val="0"/>
          <w:numId w:val="2"/>
        </w:numPr>
        <w:spacing w:after="40" w:before="40"/>
      </w:pPr>
      <w:r>
        <w:t xml:space="preserve">&lt; 45 → skip</w:t>
      </w:r>
    </w:p>
    <w:p>
      <w:pPr>
        <w:pStyle w:val="Heading1"/>
        <w:spacing w:after="200" w:before="360"/>
      </w:pPr>
      <w:r>
        <w:t xml:space="preserve">6. The Circular Logic Problem (and Fix)</w:t>
      </w:r>
    </w:p>
    <w:p>
      <w:pPr>
        <w:spacing w:after="80" w:before="80"/>
      </w:pPr>
      <w:r>
        <w:t xml:space="preserve">Sharp observation: "If my historical IVs were measured at different spots, how can I use median IV as a clean baseline?"</w:t>
      </w:r>
    </w:p>
    <w:p>
      <w:pPr>
        <w:spacing w:after="80" w:before="80"/>
      </w:pPr>
      <w:r>
        <w:t xml:space="preserve">The answer: IV is already a percentage — mathematically spot-independent. But BTC's IV regime drifts with price level over long timeframes (BTC at $20k had 70-90% IV; at $100k, 35-55%).</w:t>
      </w:r>
    </w:p>
    <w:p>
      <w:pPr>
        <w:pStyle w:val="Heading3"/>
        <w:spacing w:after="120" w:before="220"/>
      </w:pPr>
      <w:r>
        <w:t xml:space="preserve">Three solutions</w:t>
      </w:r>
    </w:p>
    <w:p>
      <w:pPr>
        <w:pStyle w:val="ListParagraph"/>
        <w:numPr>
          <w:ilvl w:val="0"/>
          <w:numId w:val="2"/>
        </w:numPr>
        <w:spacing w:after="40" w:before="40"/>
      </w:pPr>
      <w:r>
        <w:t xml:space="preserve">Rolling median (last 10-15 entries) — adapts naturally to regime</w:t>
      </w:r>
    </w:p>
    <w:p>
      <w:pPr>
        <w:pStyle w:val="ListParagraph"/>
        <w:numPr>
          <w:ilvl w:val="0"/>
          <w:numId w:val="2"/>
        </w:numPr>
        <w:spacing w:after="40" w:before="40"/>
      </w:pPr>
      <w:r>
        <w:t xml:space="preserve">Spot-bucketed baseline by price regime</w:t>
      </w:r>
    </w:p>
    <w:p>
      <w:pPr>
        <w:pStyle w:val="ListParagraph"/>
        <w:numPr>
          <w:ilvl w:val="0"/>
          <w:numId w:val="2"/>
        </w:numPr>
        <w:spacing w:after="40" w:before="40"/>
      </w:pPr>
      <w:r>
        <w:t xml:space="preserve">Use IVP not raw IV — IVP recalibrates to its own recent range automatically</w:t>
      </w:r>
    </w:p>
    <w:p>
      <w:pPr>
        <w:spacing w:after="80" w:before="80"/>
      </w:pPr>
      <w:r>
        <w:t xml:space="preserve">Variable safety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Variable</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Spot-dependent?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Regime-dependent?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Safe to median?</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Credit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No</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Credit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Rolling only</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Raw IV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Rolling only</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IVP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(self-normalizing)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Yes</w:t>
            </w:r>
          </w:p>
        </w:tc>
      </w:tr>
    </w:tbl>
    <w:p>
      <w:pPr>
        <w:pStyle w:val="Heading1"/>
        <w:spacing w:after="200" w:before="360"/>
      </w:pPr>
      <w:r>
        <w:t xml:space="preserve">7. Decomposing Premium Into Structural vs IV Regime</w:t>
      </w:r>
    </w:p>
    <w:p>
      <w:pPr>
        <w:spacing w:after="80" w:before="80"/>
      </w:pPr>
      <w:r>
        <w:t xml:space="preserve">Build IVP→credit% calibration curve from your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IVP bucket</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Median Credit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0-20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0.32%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20-40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0.41%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40-60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0.48% (= structural baseline at IVP=50)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60-80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0.58%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80-100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0.71%</w:t>
            </w:r>
          </w:p>
        </w:tc>
      </w:tr>
    </w:tbl>
    <w:p>
      <w:pPr>
        <w:pStyle w:val="Heading3"/>
        <w:spacing w:after="120" w:before="220"/>
      </w:pPr>
      <w:r>
        <w:t xml:space="preserve">Decomposition for today's $645 credit at IVP=76</w:t>
      </w:r>
    </w:p>
    <w:p>
      <w:pPr>
        <w:pStyle w:val="ListParagraph"/>
        <w:numPr>
          <w:ilvl w:val="0"/>
          <w:numId w:val="2"/>
        </w:numPr>
        <w:spacing w:after="40" w:before="40"/>
      </w:pPr>
      <w:r>
        <w:t xml:space="preserve">Structural baseline: $480 (74%) → decays via theta cleanly</w:t>
      </w:r>
    </w:p>
    <w:p>
      <w:pPr>
        <w:pStyle w:val="ListParagraph"/>
        <w:numPr>
          <w:ilvl w:val="0"/>
          <w:numId w:val="2"/>
        </w:numPr>
        <w:spacing w:after="40" w:before="40"/>
      </w:pPr>
      <w:r>
        <w:t xml:space="preserve">IV regime uplift: $100 (16%) → vega-vulnerable, evaporates if IV crushes</w:t>
      </w:r>
    </w:p>
    <w:p>
      <w:pPr>
        <w:pStyle w:val="ListParagraph"/>
        <w:numPr>
          <w:ilvl w:val="0"/>
          <w:numId w:val="2"/>
        </w:numPr>
        <w:spacing w:after="40" w:before="40"/>
      </w:pPr>
      <w:r>
        <w:t xml:space="preserve">Excess over IVP-fair: $65 (10%) → skew/noise</w:t>
      </w:r>
    </w:p>
    <w:p>
      <w:pPr>
        <w:spacing w:after="80" w:before="80"/>
      </w:pPr>
      <w:r>
        <w:t xml:space="preserve">Risk implication: If IV regime % &gt; 30% → vega-dominant, watch vol closely. If &lt; 15% → theta-dominant, gamma is the main risk.</w:t>
      </w:r>
    </w:p>
    <w:p>
      <w:pPr>
        <w:pStyle w:val="Heading1"/>
        <w:spacing w:after="200" w:before="360"/>
      </w:pPr>
      <w:r>
        <w:t xml:space="preserve">8. Per-DTE Curves and √DTE Normalization</w:t>
      </w:r>
    </w:p>
    <w:p>
      <w:pPr>
        <w:spacing w:after="80" w:before="80"/>
      </w:pPr>
      <w:r>
        <w:t xml:space="preserve">Different DTEs have different premium magnitudes — premium scales with √time (Black-Scholes):</w:t>
      </w:r>
    </w:p>
    <w:p>
      <w:pPr>
        <w:pStyle w:val="ListParagraph"/>
        <w:numPr>
          <w:ilvl w:val="0"/>
          <w:numId w:val="2"/>
        </w:numPr>
        <w:spacing w:after="40" w:before="40"/>
      </w:pPr>
      <w:r>
        <w:t xml:space="preserve">5DTE: 1.0× scale</w:t>
      </w:r>
    </w:p>
    <w:p>
      <w:pPr>
        <w:pStyle w:val="ListParagraph"/>
        <w:numPr>
          <w:ilvl w:val="0"/>
          <w:numId w:val="2"/>
        </w:numPr>
        <w:spacing w:after="40" w:before="40"/>
      </w:pPr>
      <w:r>
        <w:t xml:space="preserve">7DTE: 1.18×</w:t>
      </w:r>
    </w:p>
    <w:p>
      <w:pPr>
        <w:pStyle w:val="ListParagraph"/>
        <w:numPr>
          <w:ilvl w:val="0"/>
          <w:numId w:val="2"/>
        </w:numPr>
        <w:spacing w:after="40" w:before="40"/>
      </w:pPr>
      <w:r>
        <w:t xml:space="preserve">14DTE: 1.67×</w:t>
      </w:r>
    </w:p>
    <w:p>
      <w:pPr>
        <w:pStyle w:val="ListParagraph"/>
        <w:numPr>
          <w:ilvl w:val="0"/>
          <w:numId w:val="2"/>
        </w:numPr>
        <w:spacing w:after="40" w:before="40"/>
      </w:pPr>
      <w:r>
        <w:t xml:space="preserve">28DTE: 2.36×</w:t>
      </w:r>
    </w:p>
    <w:p>
      <w:pPr>
        <w:pStyle w:val="Heading3"/>
        <w:spacing w:after="120" w:before="220"/>
      </w:pPr>
      <w:r>
        <w:t xml:space="preserve">Solution: √DTE normalization</w:t>
      </w:r>
    </w:p>
    <w:p>
      <w:pPr>
        <w:spacing w:after="80" w:before="80"/>
      </w:pPr>
      <w:r>
        <w:t xml:space="preserve">Express all credits as credit_pct / sqrt(dte). Build ONE universal IVP curve from normalized data. Scale back to actual DTE when computing fair value:</w:t>
      </w:r>
    </w:p>
    <w:p>
      <w:pPr>
        <w:shd w:fill="F2F2F2" w:val="clear"/>
        <w:spacing w:after="80" w:before="80"/>
      </w:pPr>
      <w:r>
        <w:rPr>
          <w:rFonts w:ascii="Consolas" w:cs="Consolas" w:eastAsia="Consolas" w:hAnsi="Consolas"/>
          <w:sz w:val="20"/>
          <w:szCs w:val="20"/>
        </w:rPr>
        <w:t xml:space="preserve">fair_credit_pct(DTE) = universal_curve(IVP) × sqrt(DTE)</w:t>
      </w:r>
    </w:p>
    <w:p>
      <w:pPr>
        <w:spacing w:after="80" w:before="80"/>
      </w:pPr>
      <w:r>
        <w:t xml:space="preserve">This avoids fragmenting small samples across DTE buckets.</w:t>
      </w:r>
    </w:p>
    <w:p>
      <w:r>
        <w:br w:type="page"/>
      </w:r>
    </w:p>
    <w:p>
      <w:pPr>
        <w:pStyle w:val="Heading1"/>
        <w:spacing w:after="200" w:before="360"/>
      </w:pPr>
      <w:r>
        <w:t xml:space="preserve">9. Complete Indicator Inventory</w:t>
      </w:r>
    </w:p>
    <w:p>
      <w:pPr>
        <w:pStyle w:val="Heading2"/>
        <w:spacing w:after="160" w:before="280"/>
      </w:pPr>
      <w:r>
        <w:t xml:space="preserve">9.1 Spot-Based (No Options Needed)</w:t>
      </w:r>
    </w:p>
    <w:p>
      <w:pPr>
        <w:pStyle w:val="ListParagraph"/>
        <w:numPr>
          <w:ilvl w:val="0"/>
          <w:numId w:val="2"/>
        </w:numPr>
        <w:spacing w:after="40" w:before="40"/>
      </w:pPr>
      <w:r>
        <w:rPr>
          <w:b/>
          <w:bCs/>
        </w:rPr>
        <w:t xml:space="preserve">Returns: </w:t>
      </w:r>
      <w:r>
        <w:t xml:space="preserve">5m, 1h, 4h, 24h, 7d</w:t>
      </w:r>
    </w:p>
    <w:p>
      <w:pPr>
        <w:pStyle w:val="ListParagraph"/>
        <w:numPr>
          <w:ilvl w:val="0"/>
          <w:numId w:val="2"/>
        </w:numPr>
        <w:spacing w:after="40" w:before="40"/>
      </w:pPr>
      <w:r>
        <w:rPr>
          <w:b/>
          <w:bCs/>
        </w:rPr>
        <w:t xml:space="preserve">Realized vol: </w:t>
      </w:r>
      <w:r>
        <w:t xml:space="preserve">close-to-close, Parkinson, Garman-Klass at 24h/7d/14d/30d</w:t>
      </w:r>
    </w:p>
    <w:p>
      <w:pPr>
        <w:pStyle w:val="ListParagraph"/>
        <w:numPr>
          <w:ilvl w:val="0"/>
          <w:numId w:val="2"/>
        </w:numPr>
        <w:spacing w:after="40" w:before="40"/>
      </w:pPr>
      <w:r>
        <w:rPr>
          <w:b/>
          <w:bCs/>
        </w:rPr>
        <w:t xml:space="preserve">ATR family: </w:t>
      </w:r>
      <w:r>
        <w:t xml:space="preserve">ATR(14) on 4H, atr_pct, compression ratio (5d/30d)</w:t>
      </w:r>
    </w:p>
    <w:p>
      <w:pPr>
        <w:pStyle w:val="ListParagraph"/>
        <w:numPr>
          <w:ilvl w:val="0"/>
          <w:numId w:val="2"/>
        </w:numPr>
        <w:spacing w:after="40" w:before="40"/>
      </w:pPr>
      <w:r>
        <w:rPr>
          <w:b/>
          <w:bCs/>
        </w:rPr>
        <w:t xml:space="preserve">Trend: </w:t>
      </w:r>
      <w:r>
        <w:t xml:space="preserve">ADX_4h, +DI/-DI, RSI_4h, RSI_1d</w:t>
      </w:r>
    </w:p>
    <w:p>
      <w:pPr>
        <w:pStyle w:val="ListParagraph"/>
        <w:numPr>
          <w:ilvl w:val="0"/>
          <w:numId w:val="2"/>
        </w:numPr>
        <w:spacing w:after="40" w:before="40"/>
      </w:pPr>
      <w:r>
        <w:rPr>
          <w:b/>
          <w:bCs/>
        </w:rPr>
        <w:t xml:space="preserve">MA distance: </w:t>
      </w:r>
      <w:r>
        <w:t xml:space="preserve">from MA20, MA50, MA200 (in %)</w:t>
      </w:r>
    </w:p>
    <w:p>
      <w:pPr>
        <w:pStyle w:val="ListParagraph"/>
        <w:numPr>
          <w:ilvl w:val="0"/>
          <w:numId w:val="2"/>
        </w:numPr>
        <w:spacing w:after="40" w:before="40"/>
      </w:pPr>
      <w:r>
        <w:rPr>
          <w:b/>
          <w:bCs/>
        </w:rPr>
        <w:t xml:space="preserve">Bollinger: </w:t>
      </w:r>
      <w:r>
        <w:t xml:space="preserve">width, %B, squeeze flag</w:t>
      </w:r>
    </w:p>
    <w:p>
      <w:pPr>
        <w:pStyle w:val="ListParagraph"/>
        <w:numPr>
          <w:ilvl w:val="0"/>
          <w:numId w:val="2"/>
        </w:numPr>
        <w:spacing w:after="40" w:before="40"/>
      </w:pPr>
      <w:r>
        <w:rPr>
          <w:b/>
          <w:bCs/>
        </w:rPr>
        <w:t xml:space="preserve">RVP: </w:t>
      </w:r>
      <w:r>
        <w:t xml:space="preserve">percentile rank at 30m/1h/4h/1d windows</w:t>
      </w:r>
    </w:p>
    <w:p>
      <w:pPr>
        <w:pStyle w:val="ListParagraph"/>
        <w:numPr>
          <w:ilvl w:val="0"/>
          <w:numId w:val="2"/>
        </w:numPr>
        <w:spacing w:after="40" w:before="40"/>
      </w:pPr>
      <w:r>
        <w:rPr>
          <w:b/>
          <w:bCs/>
        </w:rPr>
        <w:t xml:space="preserve">Time: </w:t>
      </w:r>
      <w:r>
        <w:t xml:space="preserve">day-of-week, hour, weekend flag</w:t>
      </w:r>
    </w:p>
    <w:p>
      <w:pPr>
        <w:pStyle w:val="Heading2"/>
        <w:spacing w:after="160" w:before="280"/>
      </w:pPr>
      <w:r>
        <w:t xml:space="preserve">9.2 Options-Based (Chain Required)</w:t>
      </w:r>
    </w:p>
    <w:p>
      <w:pPr>
        <w:pStyle w:val="ListParagraph"/>
        <w:numPr>
          <w:ilvl w:val="0"/>
          <w:numId w:val="2"/>
        </w:numPr>
        <w:spacing w:after="40" w:before="40"/>
      </w:pPr>
      <w:r>
        <w:rPr>
          <w:b/>
          <w:bCs/>
        </w:rPr>
        <w:t xml:space="preserve">Constant-maturity ATM IV: </w:t>
      </w:r>
      <w:r>
        <w:t xml:space="preserve">interpolated to 7d/14d/30d/60d</w:t>
      </w:r>
    </w:p>
    <w:p>
      <w:pPr>
        <w:pStyle w:val="ListParagraph"/>
        <w:numPr>
          <w:ilvl w:val="0"/>
          <w:numId w:val="2"/>
        </w:numPr>
        <w:spacing w:after="40" w:before="40"/>
      </w:pPr>
      <w:r>
        <w:rPr>
          <w:b/>
          <w:bCs/>
        </w:rPr>
        <w:t xml:space="preserve">IVP per tenor: </w:t>
      </w:r>
      <w:r>
        <w:t xml:space="preserve">7d, 14d, 30d (90-day percentile)</w:t>
      </w:r>
    </w:p>
    <w:p>
      <w:pPr>
        <w:pStyle w:val="ListParagraph"/>
        <w:numPr>
          <w:ilvl w:val="0"/>
          <w:numId w:val="2"/>
        </w:numPr>
        <w:spacing w:after="40" w:before="40"/>
      </w:pPr>
      <w:r>
        <w:rPr>
          <w:b/>
          <w:bCs/>
        </w:rPr>
        <w:t xml:space="preserve">Multi-timeframe IVP: </w:t>
      </w:r>
      <w:r>
        <w:t xml:space="preserve">30m/1h/4h/1d windows</w:t>
      </w:r>
    </w:p>
    <w:p>
      <w:pPr>
        <w:pStyle w:val="ListParagraph"/>
        <w:numPr>
          <w:ilvl w:val="0"/>
          <w:numId w:val="2"/>
        </w:numPr>
        <w:spacing w:after="40" w:before="40"/>
      </w:pPr>
      <w:r>
        <w:rPr>
          <w:b/>
          <w:bCs/>
        </w:rPr>
        <w:t xml:space="preserve">Skew metrics: </w:t>
      </w:r>
      <w:r>
        <w:t xml:space="preserve">IV at .25Δ and .10Δ both sides, risk reversal, butterfly, wing/ATM ratio</w:t>
      </w:r>
    </w:p>
    <w:p>
      <w:pPr>
        <w:pStyle w:val="ListParagraph"/>
        <w:numPr>
          <w:ilvl w:val="0"/>
          <w:numId w:val="2"/>
        </w:numPr>
        <w:spacing w:after="40" w:before="40"/>
      </w:pPr>
      <w:r>
        <w:rPr>
          <w:b/>
          <w:bCs/>
        </w:rPr>
        <w:t xml:space="preserve">Term structure: </w:t>
      </w:r>
      <w:r>
        <w:t xml:space="preserve">slope and ratio between 7d/30d and 30d/60d</w:t>
      </w:r>
    </w:p>
    <w:p>
      <w:pPr>
        <w:pStyle w:val="ListParagraph"/>
        <w:numPr>
          <w:ilvl w:val="0"/>
          <w:numId w:val="2"/>
        </w:numPr>
        <w:spacing w:after="40" w:before="40"/>
      </w:pPr>
      <w:r>
        <w:rPr>
          <w:b/>
          <w:bCs/>
        </w:rPr>
        <w:t xml:space="preserve">OI analysis: </w:t>
      </w:r>
      <w:r>
        <w:t xml:space="preserve">total OI, PCR (volume + OI), call/put walls, distance to walls</w:t>
      </w:r>
    </w:p>
    <w:p>
      <w:pPr>
        <w:pStyle w:val="ListParagraph"/>
        <w:numPr>
          <w:ilvl w:val="0"/>
          <w:numId w:val="2"/>
        </w:numPr>
        <w:spacing w:after="40" w:before="40"/>
      </w:pPr>
      <w:r>
        <w:rPr>
          <w:b/>
          <w:bCs/>
        </w:rPr>
        <w:t xml:space="preserve">Dealer GEX: </w:t>
      </w:r>
      <w:r>
        <w:t xml:space="preserve">per-strike, total, flip level, regime classification</w:t>
      </w:r>
    </w:p>
    <w:p>
      <w:pPr>
        <w:pStyle w:val="ListParagraph"/>
        <w:numPr>
          <w:ilvl w:val="0"/>
          <w:numId w:val="2"/>
        </w:numPr>
        <w:spacing w:after="40" w:before="40"/>
      </w:pPr>
      <w:r>
        <w:rPr>
          <w:b/>
          <w:bCs/>
        </w:rPr>
        <w:t xml:space="preserve">Strangle-specific synthetic IV: </w:t>
      </w:r>
      <w:r>
        <w:t xml:space="preserve">average IV at .10Δ both sides, then percentiled</w:t>
      </w:r>
    </w:p>
    <w:p>
      <w:pPr>
        <w:pStyle w:val="Heading2"/>
        <w:spacing w:after="160" w:before="280"/>
      </w:pPr>
      <w:r>
        <w:t xml:space="preserve">9.3 Derived (Combined)</w:t>
      </w:r>
    </w:p>
    <w:p>
      <w:pPr>
        <w:pStyle w:val="ListParagraph"/>
        <w:numPr>
          <w:ilvl w:val="0"/>
          <w:numId w:val="2"/>
        </w:numPr>
        <w:spacing w:after="40" w:before="40"/>
      </w:pPr>
      <w:r>
        <w:rPr>
          <w:b/>
          <w:bCs/>
        </w:rPr>
        <w:t xml:space="preserve">VRP family: </w:t>
      </w:r>
      <w:r>
        <w:t xml:space="preserve">IV-RV spread/ratio at 7d/14d/30d, VRP percentile</w:t>
      </w:r>
    </w:p>
    <w:p>
      <w:pPr>
        <w:pStyle w:val="ListParagraph"/>
        <w:numPr>
          <w:ilvl w:val="0"/>
          <w:numId w:val="2"/>
        </w:numPr>
        <w:spacing w:after="40" w:before="40"/>
      </w:pPr>
      <w:r>
        <w:rPr>
          <w:b/>
          <w:bCs/>
        </w:rPr>
        <w:t xml:space="preserve">Expected move: </w:t>
      </w:r>
      <w:r>
        <w:t xml:space="preserve">1σ and 2σ at 7d/14d</w:t>
      </w:r>
    </w:p>
    <w:p>
      <w:pPr>
        <w:pStyle w:val="ListParagraph"/>
        <w:numPr>
          <w:ilvl w:val="0"/>
          <w:numId w:val="2"/>
        </w:numPr>
        <w:spacing w:after="40" w:before="40"/>
      </w:pPr>
      <w:r>
        <w:rPr>
          <w:b/>
          <w:bCs/>
        </w:rPr>
        <w:t xml:space="preserve">Vol-of-vol: </w:t>
      </w:r>
      <w:r>
        <w:t xml:space="preserve">stdev of daily ΔIV, normalized</w:t>
      </w:r>
    </w:p>
    <w:p>
      <w:pPr>
        <w:pStyle w:val="Heading1"/>
        <w:spacing w:after="200" w:before="360"/>
      </w:pPr>
      <w:r>
        <w:t xml:space="preserve">10. Master Ratio Table</w:t>
      </w:r>
    </w:p>
    <w:p>
      <w:pPr>
        <w:pStyle w:val="Heading3"/>
        <w:spacing w:after="120" w:before="220"/>
      </w:pPr>
      <w:r>
        <w:t xml:space="preserve">10.1 Volatility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Ratio</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Target</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Risk Zone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IV/RV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1.15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1.00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Term ratio (7d/30d)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extreme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Skew ratio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extreme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Wing/ATM ratio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1.10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1.05</w:t>
            </w:r>
          </w:p>
        </w:tc>
      </w:tr>
    </w:tbl>
    <w:p>
      <w:pPr>
        <w:pStyle w:val="Heading3"/>
        <w:spacing w:after="120" w:before="220"/>
      </w:pPr>
      <w:r>
        <w:t xml:space="preserve">10.2 Premium/Risk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Ratio</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Target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Credit % of spot</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0.5% (7DTE)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ROC (credit/margin)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8%</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Annualized credit %</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25%</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Credit / daily theta</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DTE</w:t>
            </w:r>
          </w:p>
        </w:tc>
      </w:tr>
    </w:tbl>
    <w:p>
      <w:pPr>
        <w:pStyle w:val="Heading3"/>
        <w:spacing w:after="120" w:before="220"/>
      </w:pPr>
      <w:r>
        <w:t xml:space="preserve">10.3 Greek Ratios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Ratio</w:t>
            </w:r>
          </w:p>
        </w:tc>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Meaning</w:t>
            </w:r>
          </w:p>
        </w:tc>
        <w:tc>
          <w:tcPr>
            <w:tcW w:type="dxa" w:w="4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Target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Theta/Vega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dominance check</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1.0 = theta-dom; &lt; 0.6 = vega-dom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Gamma/Theta ($ terms)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risk per theta dollar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1.5 manageable; &gt; 2.5 dangerous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Vega/Credit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IV sensitivity</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0.10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Delta/Credit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directional exposure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5%</w:t>
            </w:r>
          </w:p>
        </w:tc>
      </w:tr>
    </w:tbl>
    <w:p>
      <w:pPr>
        <w:pStyle w:val="Heading3"/>
        <w:spacing w:after="120" w:before="220"/>
      </w:pPr>
      <w:r>
        <w:t xml:space="preserve">10.4 Distance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Ratio</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Target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Strike/σ</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1.2σ</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Strike/ATR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 5 ATRs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Touch probability ≈ 2×|delta|</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&lt; 0.25</w:t>
            </w:r>
          </w:p>
        </w:tc>
      </w:tr>
    </w:tbl>
    <w:p>
      <w:pPr>
        <w:pStyle w:val="Heading3"/>
        <w:spacing w:after="120" w:before="220"/>
      </w:pPr>
      <w:r>
        <w:t xml:space="preserve">10.5 Regime Ratios</w:t>
      </w:r>
    </w:p>
    <w:p>
      <w:pPr>
        <w:pStyle w:val="ListParagraph"/>
        <w:numPr>
          <w:ilvl w:val="0"/>
          <w:numId w:val="2"/>
        </w:numPr>
        <w:spacing w:after="40" w:before="40"/>
      </w:pPr>
      <w:r>
        <w:t xml:space="preserve">RVP/IVP &lt; 0.7 → sell signal</w:t>
      </w:r>
    </w:p>
    <w:p>
      <w:pPr>
        <w:pStyle w:val="ListParagraph"/>
        <w:numPr>
          <w:ilvl w:val="0"/>
          <w:numId w:val="2"/>
        </w:numPr>
        <w:spacing w:after="40" w:before="40"/>
      </w:pPr>
      <w:r>
        <w:t xml:space="preserve">Short/Long IVP &gt; 1.2 → recent spike</w:t>
      </w:r>
    </w:p>
    <w:p>
      <w:pPr>
        <w:pStyle w:val="ListParagraph"/>
        <w:numPr>
          <w:ilvl w:val="0"/>
          <w:numId w:val="2"/>
        </w:numPr>
        <w:spacing w:after="40" w:before="40"/>
      </w:pPr>
      <w:r>
        <w:t xml:space="preserve">ATR compression 0.85-1.15 → stable</w:t>
      </w:r>
    </w:p>
    <w:p>
      <w:pPr>
        <w:pStyle w:val="Heading3"/>
        <w:spacing w:after="120" w:before="220"/>
      </w:pPr>
      <w:r>
        <w:t xml:space="preserve">10.6 Personal Performance Ratios</w:t>
      </w:r>
    </w:p>
    <w:p>
      <w:pPr>
        <w:pStyle w:val="ListParagraph"/>
        <w:numPr>
          <w:ilvl w:val="0"/>
          <w:numId w:val="2"/>
        </w:numPr>
        <w:spacing w:after="40" w:before="40"/>
      </w:pPr>
      <w:r>
        <w:t xml:space="preserve">Win rate, avg win/avg loss, profit factor, Sharpe per trade</w:t>
      </w:r>
    </w:p>
    <w:p>
      <w:r>
        <w:br w:type="page"/>
      </w:r>
    </w:p>
    <w:p>
      <w:pPr>
        <w:pStyle w:val="Heading1"/>
        <w:spacing w:after="200" w:before="360"/>
      </w:pPr>
      <w:r>
        <w:t xml:space="preserve">11. Position-Level Long vs Short Gamma</w:t>
      </w:r>
    </w:p>
    <w:p>
      <w:pPr>
        <w:pStyle w:val="Heading3"/>
        <w:spacing w:after="120" w:before="220"/>
      </w:pPr>
      <w:r>
        <w:t xml:space="preserve">The fundamental rule</w:t>
      </w:r>
    </w:p>
    <w:p>
      <w:pPr>
        <w:pStyle w:val="ListParagraph"/>
        <w:numPr>
          <w:ilvl w:val="0"/>
          <w:numId w:val="2"/>
        </w:numPr>
        <w:spacing w:after="40" w:before="40"/>
      </w:pPr>
      <w:r>
        <w:t xml:space="preserve">BUY options → LONG gamma</w:t>
      </w:r>
    </w:p>
    <w:p>
      <w:pPr>
        <w:pStyle w:val="ListParagraph"/>
        <w:numPr>
          <w:ilvl w:val="0"/>
          <w:numId w:val="2"/>
        </w:numPr>
        <w:spacing w:after="40" w:before="40"/>
      </w:pPr>
      <w:r>
        <w:t xml:space="preserve">SELL options → SHORT gamma</w:t>
      </w:r>
    </w:p>
    <w:p>
      <w:pPr>
        <w:pStyle w:val="ListParagraph"/>
        <w:numPr>
          <w:ilvl w:val="0"/>
          <w:numId w:val="2"/>
        </w:numPr>
        <w:spacing w:after="40" w:before="40"/>
      </w:pPr>
      <w:r>
        <w:t xml:space="preserve">A short strangle is ALWAYS short gamma (both legs sold)</w:t>
      </w:r>
    </w:p>
    <w:p>
      <w:pPr>
        <w:pStyle w:val="Heading3"/>
        <w:spacing w:after="120" w:before="220"/>
      </w:pPr>
      <w:r>
        <w:t xml:space="preserve">Short gamma consequences</w:t>
      </w:r>
    </w:p>
    <w:p>
      <w:pPr>
        <w:pStyle w:val="ListParagraph"/>
        <w:numPr>
          <w:ilvl w:val="0"/>
          <w:numId w:val="2"/>
        </w:numPr>
        <w:spacing w:after="40" w:before="40"/>
      </w:pPr>
      <w:r>
        <w:t xml:space="preserve">Delta moves AGAINST you: spot up → delta drops more, spot down → delta rises more</w:t>
      </w:r>
    </w:p>
    <w:p>
      <w:pPr>
        <w:pStyle w:val="ListParagraph"/>
        <w:numPr>
          <w:ilvl w:val="0"/>
          <w:numId w:val="2"/>
        </w:numPr>
        <w:spacing w:after="40" w:before="40"/>
      </w:pPr>
      <w:r>
        <w:t xml:space="preserve">Gamma INCREASES as DTE shrinks AND as spot approaches strikes</w:t>
      </w:r>
    </w:p>
    <w:p>
      <w:pPr>
        <w:pStyle w:val="ListParagraph"/>
        <w:numPr>
          <w:ilvl w:val="0"/>
          <w:numId w:val="2"/>
        </w:numPr>
        <w:spacing w:after="40" w:before="40"/>
      </w:pPr>
      <w:r>
        <w:t xml:space="preserve">You're paid theta to compensate for gamma risk</w:t>
      </w:r>
    </w:p>
    <w:p>
      <w:pPr>
        <w:pStyle w:val="Heading3"/>
        <w:spacing w:after="120" w:before="220"/>
      </w:pPr>
      <w:r>
        <w:t xml:space="preserve">Dollar gamma stress test</w:t>
      </w:r>
    </w:p>
    <w:p>
      <w:pPr>
        <w:shd w:fill="F2F2F2" w:val="clear"/>
        <w:spacing w:after="80" w:before="80"/>
      </w:pPr>
      <w:r>
        <w:rPr>
          <w:rFonts w:ascii="Consolas" w:cs="Consolas" w:eastAsia="Consolas" w:hAnsi="Consolas"/>
          <w:sz w:val="20"/>
          <w:szCs w:val="20"/>
        </w:rPr>
        <w:t xml:space="preserve">Dollar gamma = Position_gamma × Spot² × 0.0001</w:t>
      </w:r>
    </w:p>
    <w:p>
      <w:pPr>
        <w:spacing w:after="80" w:before="80"/>
      </w:pPr>
      <w:r>
        <w:t xml:space="preserve">A position with -$120 dollar gamma loses $120 per 1% move from gamma alone — and gamma grows as spot moves further (non-linear).</w:t>
      </w:r>
    </w:p>
    <w:p>
      <w:pPr>
        <w:pStyle w:val="Heading1"/>
        <w:spacing w:after="200" w:before="360"/>
      </w:pPr>
      <w:r>
        <w:t xml:space="preserve">12. Dealer Gamma (Market-Level GEX)</w:t>
      </w:r>
    </w:p>
    <w:p>
      <w:pPr>
        <w:pStyle w:val="Heading3"/>
        <w:spacing w:after="120" w:before="220"/>
      </w:pPr>
      <w:r>
        <w:t xml:space="preserve">The mechanism</w:t>
      </w:r>
    </w:p>
    <w:p>
      <w:pPr>
        <w:spacing w:after="80" w:before="80"/>
      </w:pPr>
      <w:r>
        <w:t xml:space="preserve">When you sell a strangle, a market maker takes the other side. Aggregating across the market, dealers end up either net long or net short gamma.</w:t>
      </w:r>
    </w:p>
    <w:p>
      <w:pPr>
        <w:pStyle w:val="Heading3"/>
        <w:spacing w:after="120" w:before="220"/>
      </w:pPr>
      <w:r>
        <w:t xml:space="preserve">Long-gamma dealer hedging (stabilizing)</w:t>
      </w:r>
    </w:p>
    <w:p>
      <w:pPr>
        <w:pStyle w:val="ListParagraph"/>
        <w:numPr>
          <w:ilvl w:val="0"/>
          <w:numId w:val="2"/>
        </w:numPr>
        <w:spacing w:after="40" w:before="40"/>
      </w:pPr>
      <w:r>
        <w:t xml:space="preserve">Spot up → dealer SELLS spot (cap)</w:t>
      </w:r>
    </w:p>
    <w:p>
      <w:pPr>
        <w:pStyle w:val="ListParagraph"/>
        <w:numPr>
          <w:ilvl w:val="0"/>
          <w:numId w:val="2"/>
        </w:numPr>
        <w:spacing w:after="40" w:before="40"/>
      </w:pPr>
      <w:r>
        <w:t xml:space="preserve">Spot down → dealer BUYS spot (cushion)</w:t>
      </w:r>
    </w:p>
    <w:p>
      <w:pPr>
        <w:pStyle w:val="ListParagraph"/>
        <w:numPr>
          <w:ilvl w:val="0"/>
          <w:numId w:val="2"/>
        </w:numPr>
        <w:spacing w:after="40" w:before="40"/>
      </w:pPr>
      <w:r>
        <w:t xml:space="preserve">Effect: range-bound, mean-reverting markets — friendly to short strangles</w:t>
      </w:r>
    </w:p>
    <w:p>
      <w:pPr>
        <w:pStyle w:val="Heading3"/>
        <w:spacing w:after="120" w:before="220"/>
      </w:pPr>
      <w:r>
        <w:t xml:space="preserve">Short-gamma dealer hedging (destabilizing)</w:t>
      </w:r>
    </w:p>
    <w:p>
      <w:pPr>
        <w:pStyle w:val="ListParagraph"/>
        <w:numPr>
          <w:ilvl w:val="0"/>
          <w:numId w:val="2"/>
        </w:numPr>
        <w:spacing w:after="40" w:before="40"/>
      </w:pPr>
      <w:r>
        <w:t xml:space="preserve">Spot up → dealer BUYS spot (fuels rally)</w:t>
      </w:r>
    </w:p>
    <w:p>
      <w:pPr>
        <w:pStyle w:val="ListParagraph"/>
        <w:numPr>
          <w:ilvl w:val="0"/>
          <w:numId w:val="2"/>
        </w:numPr>
        <w:spacing w:after="40" w:before="40"/>
      </w:pPr>
      <w:r>
        <w:t xml:space="preserve">Spot down → dealer SELLS spot (feeds panic)</w:t>
      </w:r>
    </w:p>
    <w:p>
      <w:pPr>
        <w:pStyle w:val="ListParagraph"/>
        <w:numPr>
          <w:ilvl w:val="0"/>
          <w:numId w:val="2"/>
        </w:numPr>
        <w:spacing w:after="40" w:before="40"/>
      </w:pPr>
      <w:r>
        <w:t xml:space="preserve">Effect: trending, cascading moves — hostile to short strangles</w:t>
      </w:r>
    </w:p>
    <w:p>
      <w:pPr>
        <w:pStyle w:val="Heading3"/>
        <w:spacing w:after="120" w:before="220"/>
      </w:pPr>
      <w:r>
        <w:t xml:space="preserve">Critical clarifications</w:t>
      </w:r>
    </w:p>
    <w:p>
      <w:pPr>
        <w:spacing w:after="80" w:before="80"/>
      </w:pPr>
      <w:r>
        <w:rPr>
          <w:b/>
          <w:bCs/>
        </w:rPr>
        <w:t xml:space="preserve">1. GEX does NOT predict direction.</w:t>
      </w:r>
    </w:p>
    <w:p>
      <w:pPr>
        <w:spacing w:after="80" w:before="80"/>
      </w:pPr>
      <w:r>
        <w:t xml:space="preserve">Direction comes from news/flow/fundamentals. GEX predicts how violently moves get amplified or dampened.</w:t>
      </w:r>
    </w:p>
    <w:p>
      <w:pPr>
        <w:spacing w:after="80" w:before="80"/>
      </w:pPr>
      <w:r>
        <w:rPr>
          <w:b/>
          <w:bCs/>
        </w:rPr>
        <w:t xml:space="preserve">2. Dealers don't care about P&amp;L direction.</w:t>
      </w:r>
    </w:p>
    <w:p>
      <w:pPr>
        <w:spacing w:after="80" w:before="80"/>
      </w:pPr>
      <w:r>
        <w:t xml:space="preserve">They aim to be delta-neutral. Their P&amp;L comes from gamma scalping (when long gamma + high RV) or theta collection (when short gamma + low RV) — not directional bets.</w:t>
      </w:r>
    </w:p>
    <w:p>
      <w:pPr>
        <w:spacing w:after="80" w:before="80"/>
      </w:pPr>
      <w:r>
        <w:rPr>
          <w:b/>
          <w:bCs/>
        </w:rPr>
        <w:t xml:space="preserve">3. 'Hedger vs speculator' doesn't change market mechanics.</w:t>
      </w:r>
    </w:p>
    <w:p>
      <w:pPr>
        <w:spacing w:after="80" w:before="80"/>
      </w:pPr>
      <w:r>
        <w:t xml:space="preserve">Even if every option was bought as legitimate insurance, dealer hedging activity itself moves price. Aggregate hedge flows from 100 funds buying puts can cascade.</w:t>
      </w:r>
    </w:p>
    <w:p>
      <w:pPr>
        <w:spacing w:after="80" w:before="80"/>
      </w:pPr>
      <w:r>
        <w:rPr>
          <w:b/>
          <w:bCs/>
        </w:rPr>
        <w:t xml:space="preserve">4. Long dealer gamma doesn't guarantee your win.</w:t>
      </w:r>
    </w:p>
    <w:p>
      <w:pPr>
        <w:spacing w:after="80" w:before="80"/>
      </w:pPr>
      <w:r>
        <w:t xml:space="preserve">It shifts probabilities. Lower realized vol on average; better win rates for strangle sellers; but doesn't eliminate breach risk.</w:t>
      </w:r>
    </w:p>
    <w:p>
      <w:pPr>
        <w:pStyle w:val="Heading3"/>
        <w:spacing w:after="120" w:before="220"/>
      </w:pPr>
      <w:r>
        <w:t xml:space="preserve">Mental model</w:t>
      </w:r>
    </w:p>
    <w:p>
      <w:pPr>
        <w:spacing w:after="80" w:before="80"/>
      </w:pPr>
      <w:r>
        <w:t xml:space="preserve">Dealer hedging is a giant invisible hand. Long gamma = brakes engaged. Short gamma = no brakes. Neither pushes the car downhill — gravity (news) does. But brakes determine speed.</w:t>
      </w:r>
    </w:p>
    <w:p>
      <w:pPr>
        <w:pStyle w:val="Heading1"/>
        <w:spacing w:after="200" w:before="360"/>
      </w:pPr>
      <w:r>
        <w:t xml:space="preserve">13. Diagnosing Gamma vs IV-Driven Moves</w:t>
      </w:r>
    </w:p>
    <w:p>
      <w:pPr>
        <w:pStyle w:val="Heading3"/>
        <w:spacing w:after="120" w:before="220"/>
      </w:pPr>
      <w:r>
        <w:t xml:space="preserve">The decomposition formula</w:t>
      </w:r>
    </w:p>
    <w:p>
      <w:pPr>
        <w:shd w:fill="F2F2F2" w:val="clear"/>
        <w:spacing w:after="80" w:before="80"/>
      </w:pPr>
      <w:r>
        <w:rPr>
          <w:rFonts w:ascii="Consolas" w:cs="Consolas" w:eastAsia="Consolas" w:hAnsi="Consolas"/>
          <w:sz w:val="20"/>
          <w:szCs w:val="20"/>
        </w:rPr>
        <w:t xml:space="preserve">ΔPremium ≈ Delta·ΔSpot + ½·Gamma·(ΔSpot)² + Vega·ΔIV + Theta·Δt</w:t>
      </w:r>
    </w:p>
    <w:p>
      <w:pPr>
        <w:spacing w:after="80" w:before="80"/>
      </w:pPr>
      <w:r>
        <w:t xml:space="preserve">For short positions (you collect, so your P&amp;L is opposite premium change), flip signs.</w:t>
      </w:r>
    </w:p>
    <w:p>
      <w:pPr>
        <w:pStyle w:val="Heading3"/>
        <w:spacing w:after="120" w:before="220"/>
      </w:pPr>
      <w:r>
        <w:t xml:space="preserve">Quick visual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4500"/>
      </w:tblGrid>
      <w:tr>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Pattern</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Driver</w:t>
            </w:r>
          </w:p>
        </w:tc>
      </w:tr>
      <w:tr>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Both legs move SAME direction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VEGA (IV expansion or crush)</w:t>
            </w:r>
          </w:p>
        </w:tc>
      </w:tr>
      <w:tr>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One leg explodes, other shrinks toward zero</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GAMMA (spot moved toward strike)</w:t>
            </w:r>
          </w:p>
        </w:tc>
      </w:tr>
      <w:tr>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Steady daily decay matching theta value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THETA</w:t>
            </w:r>
          </w:p>
        </w:tc>
      </w:tr>
      <w:tr>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changes faster than spot explains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VEGA-driven</w:t>
            </w:r>
          </w:p>
        </w:tc>
      </w:tr>
      <w:tr>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Premium drops fast with stable spot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IV CRUSH (favorable vega)</w:t>
            </w:r>
          </w:p>
        </w:tc>
      </w:tr>
      <w:tr>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Symmetric loss with spot moving and IV flat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GAMMA-driven</w:t>
            </w:r>
          </w:p>
        </w:tc>
      </w:tr>
    </w:tbl>
    <w:p>
      <w:pPr>
        <w:pStyle w:val="Heading3"/>
        <w:spacing w:after="120" w:before="220"/>
      </w:pPr>
      <w:r>
        <w:t xml:space="preserve">Quantitative method</w:t>
      </w:r>
    </w:p>
    <w:p>
      <w:pPr>
        <w:spacing w:after="80" w:before="80"/>
      </w:pPr>
      <w:r>
        <w:t xml:space="preserve">For each interval, compute:</w:t>
      </w:r>
    </w:p>
    <w:p>
      <w:pPr>
        <w:shd w:fill="F2F2F2" w:val="clear"/>
        <w:spacing w:after="80" w:before="80"/>
      </w:pPr>
      <w:r>
        <w:rPr>
          <w:rFonts w:ascii="Consolas" w:cs="Consolas" w:eastAsia="Consolas" w:hAnsi="Consolas"/>
          <w:sz w:val="20"/>
          <w:szCs w:val="20"/>
        </w:rPr>
        <w:t xml:space="preserve">delta_pnl = delta · ΔSpot</w:t>
      </w:r>
    </w:p>
    <w:p>
      <w:pPr>
        <w:shd w:fill="F2F2F2" w:val="clear"/>
        <w:spacing w:after="80" w:before="80"/>
      </w:pPr>
      <w:r>
        <w:rPr>
          <w:rFonts w:ascii="Consolas" w:cs="Consolas" w:eastAsia="Consolas" w:hAnsi="Consolas"/>
          <w:sz w:val="20"/>
          <w:szCs w:val="20"/>
        </w:rPr>
        <w:t xml:space="preserve">gamma_pnl = ½ · gamma · ΔSpot²</w:t>
      </w:r>
    </w:p>
    <w:p>
      <w:pPr>
        <w:shd w:fill="F2F2F2" w:val="clear"/>
        <w:spacing w:after="80" w:before="80"/>
      </w:pPr>
      <w:r>
        <w:rPr>
          <w:rFonts w:ascii="Consolas" w:cs="Consolas" w:eastAsia="Consolas" w:hAnsi="Consolas"/>
          <w:sz w:val="20"/>
          <w:szCs w:val="20"/>
        </w:rPr>
        <w:t xml:space="preserve">vega_pnl  = vega · ΔIV</w:t>
      </w:r>
    </w:p>
    <w:p>
      <w:pPr>
        <w:shd w:fill="F2F2F2" w:val="clear"/>
        <w:spacing w:after="80" w:before="80"/>
      </w:pPr>
      <w:r>
        <w:rPr>
          <w:rFonts w:ascii="Consolas" w:cs="Consolas" w:eastAsia="Consolas" w:hAnsi="Consolas"/>
          <w:sz w:val="20"/>
          <w:szCs w:val="20"/>
        </w:rPr>
        <w:t xml:space="preserve">theta_pnl = theta · Δt</w:t>
      </w:r>
    </w:p>
    <w:p>
      <w:pPr>
        <w:spacing w:after="80" w:before="80"/>
      </w:pPr>
      <w:r>
        <w:t xml:space="preserve">The largest absolute component is the dominant Greek. That's the move's character.</w:t>
      </w:r>
    </w:p>
    <w:p>
      <w:pPr>
        <w:pStyle w:val="Heading3"/>
        <w:spacing w:after="120" w:before="220"/>
      </w:pPr>
      <w:r>
        <w:t xml:space="preserve">Time-of-trade pattern</w:t>
      </w:r>
    </w:p>
    <w:p>
      <w:pPr>
        <w:pStyle w:val="ListParagraph"/>
        <w:numPr>
          <w:ilvl w:val="0"/>
          <w:numId w:val="2"/>
        </w:numPr>
        <w:spacing w:after="40" w:before="40"/>
      </w:pPr>
      <w:r>
        <w:t xml:space="preserve">Days 0-1: Vega often dominates (post-entry IV shifts)</w:t>
      </w:r>
    </w:p>
    <w:p>
      <w:pPr>
        <w:pStyle w:val="ListParagraph"/>
        <w:numPr>
          <w:ilvl w:val="0"/>
          <w:numId w:val="2"/>
        </w:numPr>
        <w:spacing w:after="40" w:before="40"/>
      </w:pPr>
      <w:r>
        <w:t xml:space="preserve">Days 2-4: Theta dominates (mid-life decay)</w:t>
      </w:r>
    </w:p>
    <w:p>
      <w:pPr>
        <w:pStyle w:val="ListParagraph"/>
        <w:numPr>
          <w:ilvl w:val="0"/>
          <w:numId w:val="2"/>
        </w:numPr>
        <w:spacing w:after="40" w:before="40"/>
      </w:pPr>
      <w:r>
        <w:t xml:space="preserve">Days 5-7: Gamma starts dominating (acceleration into expiry)</w:t>
      </w:r>
    </w:p>
    <w:p>
      <w:pPr>
        <w:pStyle w:val="Heading1"/>
        <w:spacing w:after="200" w:before="360"/>
      </w:pPr>
      <w:r>
        <w:t xml:space="preserve">14. Win/Loss Type Classification</w:t>
      </w:r>
    </w:p>
    <w:p>
      <w:pPr>
        <w:pStyle w:val="Heading3"/>
        <w:spacing w:after="120" w:before="220"/>
      </w:pPr>
      <w:r>
        <w:t xml:space="preserve">Win types</w:t>
      </w:r>
    </w:p>
    <w:p>
      <w:pPr>
        <w:pStyle w:val="ListParagraph"/>
        <w:numPr>
          <w:ilvl w:val="0"/>
          <w:numId w:val="2"/>
        </w:numPr>
        <w:spacing w:after="40" w:before="40"/>
      </w:pPr>
      <w:r>
        <w:rPr>
          <w:b/>
          <w:bCs/>
        </w:rPr>
        <w:t xml:space="preserve">Theta-driven win: </w:t>
      </w:r>
      <w:r>
        <w:t xml:space="preserve">Spot range-bound, IV stable, daily P&amp;L ≈ theta. Boring and ideal.</w:t>
      </w:r>
    </w:p>
    <w:p>
      <w:pPr>
        <w:pStyle w:val="ListParagraph"/>
        <w:numPr>
          <w:ilvl w:val="0"/>
          <w:numId w:val="2"/>
        </w:numPr>
        <w:spacing w:after="40" w:before="40"/>
      </w:pPr>
      <w:r>
        <w:rPr>
          <w:b/>
          <w:bCs/>
        </w:rPr>
        <w:t xml:space="preserve">IV-crush win: </w:t>
      </w:r>
      <w:r>
        <w:t xml:space="preserve">IV drops 5+ points after entry, premium collapses fast, exit early. Often event-driven.</w:t>
      </w:r>
    </w:p>
    <w:p>
      <w:pPr>
        <w:pStyle w:val="Heading3"/>
        <w:spacing w:after="120" w:before="220"/>
      </w:pPr>
      <w:r>
        <w:t xml:space="preserve">Loss types</w:t>
      </w:r>
    </w:p>
    <w:p>
      <w:pPr>
        <w:pStyle w:val="ListParagraph"/>
        <w:numPr>
          <w:ilvl w:val="0"/>
          <w:numId w:val="2"/>
        </w:numPr>
        <w:spacing w:after="40" w:before="40"/>
      </w:pPr>
      <w:r>
        <w:rPr>
          <w:b/>
          <w:bCs/>
        </w:rPr>
        <w:t xml:space="preserve">Gamma blowup: </w:t>
      </w:r>
      <w:r>
        <w:t xml:space="preserve">Spot moves toward strike, delta explodes, threatened leg's premium spikes. Asymmetric loss.</w:t>
      </w:r>
    </w:p>
    <w:p>
      <w:pPr>
        <w:pStyle w:val="ListParagraph"/>
        <w:numPr>
          <w:ilvl w:val="0"/>
          <w:numId w:val="2"/>
        </w:numPr>
        <w:spacing w:after="40" w:before="40"/>
      </w:pPr>
      <w:r>
        <w:rPr>
          <w:b/>
          <w:bCs/>
        </w:rPr>
        <w:t xml:space="preserve">Vega expansion: </w:t>
      </w:r>
      <w:r>
        <w:t xml:space="preserve">IV spikes, both legs reprice up symmetrically, spot may be flat.</w:t>
      </w:r>
    </w:p>
    <w:p>
      <w:pPr>
        <w:pStyle w:val="ListParagraph"/>
        <w:numPr>
          <w:ilvl w:val="0"/>
          <w:numId w:val="2"/>
        </w:numPr>
        <w:spacing w:after="40" w:before="40"/>
      </w:pPr>
      <w:r>
        <w:rPr>
          <w:b/>
          <w:bCs/>
        </w:rPr>
        <w:t xml:space="preserve">Mixed: </w:t>
      </w:r>
      <w:r>
        <w:t xml:space="preserve">Both gamma and vega contribute (common in crash + IV spike scenarios).</w:t>
      </w:r>
    </w:p>
    <w:p>
      <w:r>
        <w:br w:type="page"/>
      </w:r>
    </w:p>
    <w:p>
      <w:pPr>
        <w:pStyle w:val="Heading1"/>
        <w:spacing w:after="200" w:before="360"/>
      </w:pPr>
      <w:r>
        <w:t xml:space="preserve">15. Strike Selection Methods</w:t>
      </w:r>
    </w:p>
    <w:p>
      <w:pPr>
        <w:pStyle w:val="ListParagraph"/>
        <w:numPr>
          <w:ilvl w:val="0"/>
          <w:numId w:val="2"/>
        </w:numPr>
        <w:spacing w:after="40" w:before="40"/>
      </w:pPr>
      <w:r>
        <w:rPr>
          <w:b/>
          <w:bCs/>
        </w:rPr>
        <w:t xml:space="preserve">Method A — Fixed delta (recommended): </w:t>
      </w:r>
      <w:r>
        <w:t xml:space="preserve">.10 delta both sides → ~1.28σ OTM, ~10% touch probability, balanced credit/safety.</w:t>
      </w:r>
    </w:p>
    <w:p>
      <w:pPr>
        <w:pStyle w:val="ListParagraph"/>
        <w:numPr>
          <w:ilvl w:val="0"/>
          <w:numId w:val="2"/>
        </w:numPr>
        <w:spacing w:after="40" w:before="40"/>
      </w:pPr>
      <w:r>
        <w:rPr>
          <w:b/>
          <w:bCs/>
        </w:rPr>
        <w:t xml:space="preserve">Method B — Probability of touch: </w:t>
      </w:r>
      <w:r>
        <w:t xml:space="preserve">PoT ≈ 2×delta for short DTE; pick strikes where PoT &lt; 30%.</w:t>
      </w:r>
    </w:p>
    <w:p>
      <w:pPr>
        <w:pStyle w:val="ListParagraph"/>
        <w:numPr>
          <w:ilvl w:val="0"/>
          <w:numId w:val="2"/>
        </w:numPr>
        <w:spacing w:after="40" w:before="40"/>
      </w:pPr>
      <w:r>
        <w:rPr>
          <w:b/>
          <w:bCs/>
        </w:rPr>
        <w:t xml:space="preserve">Method C — Standard deviation move: </w:t>
      </w:r>
      <w:r>
        <w:t xml:space="preserve">Sell 1σ to 1.5σ OTM (1σ ≈ .16Δ, 1.5σ ≈ .07Δ).</w:t>
      </w:r>
    </w:p>
    <w:p>
      <w:pPr>
        <w:pStyle w:val="ListParagraph"/>
        <w:numPr>
          <w:ilvl w:val="0"/>
          <w:numId w:val="2"/>
        </w:numPr>
        <w:spacing w:after="40" w:before="40"/>
      </w:pPr>
      <w:r>
        <w:rPr>
          <w:b/>
          <w:bCs/>
        </w:rPr>
        <w:t xml:space="preserve">Method D — ATR-based: </w:t>
      </w:r>
      <w:r>
        <w:t xml:space="preserve">Sell 2-3 ATR away from spot.</w:t>
      </w:r>
    </w:p>
    <w:p>
      <w:pPr>
        <w:pStyle w:val="Heading3"/>
        <w:spacing w:after="120" w:before="220"/>
      </w:pPr>
      <w:r>
        <w:t xml:space="preserve">Asymmetric for BTC</w:t>
      </w:r>
    </w:p>
    <w:p>
      <w:pPr>
        <w:spacing w:after="80" w:before="80"/>
      </w:pPr>
      <w:r>
        <w:t xml:space="preserve">Bitcoin has structural put skew. Consider .08Δ put / .12Δ call to balance credit and risk.</w:t>
      </w:r>
    </w:p>
    <w:p>
      <w:pPr>
        <w:pStyle w:val="Heading3"/>
        <w:spacing w:after="120" w:before="220"/>
      </w:pPr>
      <w:r>
        <w:t xml:space="preserve">Avoid</w:t>
      </w:r>
    </w:p>
    <w:p>
      <w:pPr>
        <w:pStyle w:val="ListParagraph"/>
        <w:numPr>
          <w:ilvl w:val="0"/>
          <w:numId w:val="2"/>
        </w:numPr>
        <w:spacing w:after="40" w:before="40"/>
      </w:pPr>
      <w:r>
        <w:t xml:space="preserve">Round-number strikes</w:t>
      </w:r>
    </w:p>
    <w:p>
      <w:pPr>
        <w:pStyle w:val="ListParagraph"/>
        <w:numPr>
          <w:ilvl w:val="0"/>
          <w:numId w:val="2"/>
        </w:numPr>
        <w:spacing w:after="40" w:before="40"/>
      </w:pPr>
      <w:r>
        <w:t xml:space="preserve">Major OI walls</w:t>
      </w:r>
    </w:p>
    <w:p>
      <w:pPr>
        <w:pStyle w:val="ListParagraph"/>
        <w:numPr>
          <w:ilvl w:val="0"/>
          <w:numId w:val="2"/>
        </w:numPr>
        <w:spacing w:after="40" w:before="40"/>
      </w:pPr>
      <w:r>
        <w:t xml:space="preserve">Recent swing highs/lows</w:t>
      </w:r>
    </w:p>
    <w:p>
      <w:pPr>
        <w:pStyle w:val="ListParagraph"/>
        <w:numPr>
          <w:ilvl w:val="0"/>
          <w:numId w:val="2"/>
        </w:numPr>
        <w:spacing w:after="40" w:before="40"/>
      </w:pPr>
      <w:r>
        <w:t xml:space="preserve">Strikes at support/resistance</w:t>
      </w:r>
    </w:p>
    <w:p>
      <w:pPr>
        <w:pStyle w:val="Heading1"/>
        <w:spacing w:after="200" w:before="360"/>
      </w:pPr>
      <w:r>
        <w:t xml:space="preserve">16. Expiry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440"/>
        <w:gridCol w:w="1440"/>
        <w:gridCol w:w="3840"/>
      </w:tblGrid>
      <w:t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DTE</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Theta</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Gamma</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Vega</w:t>
            </w:r>
          </w:p>
        </w:tc>
        <w:tc>
          <w:tcPr>
            <w:tcW w:type="dxa" w:w="38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Use Case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0-3</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Highest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Highest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Lowest</w:t>
            </w:r>
          </w:p>
        </w:tc>
        <w:tc>
          <w:tcPr>
            <w:tcW w:type="dxa" w:w="3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Pure theta scalp (very risky)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5-10</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Medium</w:t>
            </w:r>
          </w:p>
        </w:tc>
        <w:tc>
          <w:tcPr>
            <w:tcW w:type="dxa" w:w="3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Sweet spot for short strangle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10-21</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Medium</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Medium</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3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Vega plays, IV crush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21-45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Highest</w:t>
            </w:r>
          </w:p>
        </w:tc>
        <w:tc>
          <w:tcPr>
            <w:tcW w:type="dxa" w:w="3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Pure vega carry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Very low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Very low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Highest</w:t>
            </w:r>
          </w:p>
        </w:tc>
        <w:tc>
          <w:tcPr>
            <w:tcW w:type="dxa" w:w="38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Long-vol carry</w:t>
            </w:r>
          </w:p>
        </w:tc>
      </w:tr>
    </w:tbl>
    <w:p>
      <w:pPr>
        <w:spacing w:after="80" w:before="80"/>
      </w:pPr>
      <w:r>
        <w:t xml:space="preserve">For your weekend Saturday cadence: 7DTE is ideal — captures weekend theta + Monday IV crush.</w:t>
      </w:r>
    </w:p>
    <w:p>
      <w:pPr>
        <w:pStyle w:val="Heading1"/>
        <w:spacing w:after="200" w:before="360"/>
      </w:pPr>
      <w:r>
        <w:t xml:space="preserve">17. Exit Rules</w:t>
      </w:r>
    </w:p>
    <w:p>
      <w:pPr>
        <w:pStyle w:val="ListParagraph"/>
        <w:numPr>
          <w:ilvl w:val="0"/>
          <w:numId w:val="2"/>
        </w:numPr>
        <w:spacing w:after="40" w:before="40"/>
      </w:pPr>
      <w:r>
        <w:rPr>
          <w:b/>
          <w:bCs/>
        </w:rPr>
        <w:t xml:space="preserve">Profit target: </w:t>
      </w:r>
      <w:r>
        <w:t xml:space="preserve">50% of credit (60% works in BTC)</w:t>
      </w:r>
    </w:p>
    <w:p>
      <w:pPr>
        <w:pStyle w:val="ListParagraph"/>
        <w:numPr>
          <w:ilvl w:val="0"/>
          <w:numId w:val="2"/>
        </w:numPr>
        <w:spacing w:after="40" w:before="40"/>
      </w:pPr>
      <w:r>
        <w:rPr>
          <w:b/>
          <w:bCs/>
        </w:rPr>
        <w:t xml:space="preserve">Stop loss: </w:t>
      </w:r>
      <w:r>
        <w:t xml:space="preserve">2× credit</w:t>
      </w:r>
    </w:p>
    <w:p>
      <w:pPr>
        <w:pStyle w:val="ListParagraph"/>
        <w:numPr>
          <w:ilvl w:val="0"/>
          <w:numId w:val="2"/>
        </w:numPr>
        <w:spacing w:after="40" w:before="40"/>
      </w:pPr>
      <w:r>
        <w:rPr>
          <w:b/>
          <w:bCs/>
        </w:rPr>
        <w:t xml:space="preserve">Strike threat: </w:t>
      </w:r>
      <w:r>
        <w:t xml:space="preserve">exit if either delta &gt; 0.30</w:t>
      </w:r>
    </w:p>
    <w:p>
      <w:pPr>
        <w:pStyle w:val="ListParagraph"/>
        <w:numPr>
          <w:ilvl w:val="0"/>
          <w:numId w:val="2"/>
        </w:numPr>
        <w:spacing w:after="40" w:before="40"/>
      </w:pPr>
      <w:r>
        <w:rPr>
          <w:b/>
          <w:bCs/>
        </w:rPr>
        <w:t xml:space="preserve">IV expansion: </w:t>
      </w:r>
      <w:r>
        <w:t xml:space="preserve">exit if IV up &gt;30% from entry</w:t>
      </w:r>
    </w:p>
    <w:p>
      <w:pPr>
        <w:pStyle w:val="ListParagraph"/>
        <w:numPr>
          <w:ilvl w:val="0"/>
          <w:numId w:val="2"/>
        </w:numPr>
        <w:spacing w:after="40" w:before="40"/>
      </w:pPr>
      <w:r>
        <w:rPr>
          <w:b/>
          <w:bCs/>
        </w:rPr>
        <w:t xml:space="preserve">Trend flip: </w:t>
      </w:r>
      <w:r>
        <w:t xml:space="preserve">exit if ADX_4h crosses above 30 after entry</w:t>
      </w:r>
    </w:p>
    <w:p>
      <w:pPr>
        <w:pStyle w:val="ListParagraph"/>
        <w:numPr>
          <w:ilvl w:val="0"/>
          <w:numId w:val="2"/>
        </w:numPr>
        <w:spacing w:after="40" w:before="40"/>
      </w:pPr>
      <w:r>
        <w:rPr>
          <w:b/>
          <w:bCs/>
        </w:rPr>
        <w:t xml:space="preserve">Time stop: </w:t>
      </w:r>
      <w:r>
        <w:t xml:space="preserve">close at 1-2 DTE to avoid pin risk</w:t>
      </w:r>
    </w:p>
    <w:p>
      <w:pPr>
        <w:pStyle w:val="ListParagraph"/>
        <w:numPr>
          <w:ilvl w:val="0"/>
          <w:numId w:val="2"/>
        </w:numPr>
        <w:spacing w:after="40" w:before="40"/>
      </w:pPr>
      <w:r>
        <w:rPr>
          <w:b/>
          <w:bCs/>
        </w:rPr>
        <w:t xml:space="preserve">DTE threshold: </w:t>
      </w:r>
      <w:r>
        <w:t xml:space="preserve">for longer trades (45+ DTE entry), close at 21 DTE remaining</w:t>
      </w:r>
    </w:p>
    <w:p>
      <w:pPr>
        <w:pStyle w:val="Heading1"/>
        <w:spacing w:after="200" w:before="360"/>
      </w:pPr>
      <w:r>
        <w:t xml:space="preserve">18. Entry Decision Flow</w:t>
      </w:r>
    </w:p>
    <w:p>
      <w:pPr>
        <w:pStyle w:val="Heading3"/>
        <w:spacing w:after="120" w:before="220"/>
      </w:pPr>
      <w:r>
        <w:t xml:space="preserve">Hard filters (all must pass)</w:t>
      </w:r>
    </w:p>
    <w:p>
      <w:pPr>
        <w:pStyle w:val="ListParagraph"/>
        <w:numPr>
          <w:ilvl w:val="0"/>
          <w:numId w:val="2"/>
        </w:numPr>
        <w:spacing w:after="40" w:before="40"/>
      </w:pPr>
      <w:r>
        <w:t xml:space="preserve">✓ IVP_4H &gt; 50</w:t>
      </w:r>
    </w:p>
    <w:p>
      <w:pPr>
        <w:pStyle w:val="ListParagraph"/>
        <w:numPr>
          <w:ilvl w:val="0"/>
          <w:numId w:val="2"/>
        </w:numPr>
        <w:spacing w:after="40" w:before="40"/>
      </w:pPr>
      <w:r>
        <w:t xml:space="preserve">✓ IV-RV spread &gt; 0</w:t>
      </w:r>
    </w:p>
    <w:p>
      <w:pPr>
        <w:pStyle w:val="ListParagraph"/>
        <w:numPr>
          <w:ilvl w:val="0"/>
          <w:numId w:val="2"/>
        </w:numPr>
        <w:spacing w:after="40" w:before="40"/>
      </w:pPr>
      <w:r>
        <w:t xml:space="preserve">✓ ADX_4H &lt; 30</w:t>
      </w:r>
    </w:p>
    <w:p>
      <w:pPr>
        <w:pStyle w:val="ListParagraph"/>
        <w:numPr>
          <w:ilvl w:val="0"/>
          <w:numId w:val="2"/>
        </w:numPr>
        <w:spacing w:after="40" w:before="40"/>
      </w:pPr>
      <w:r>
        <w:t xml:space="preserve">✓ DTE in 5-14 range</w:t>
      </w:r>
    </w:p>
    <w:p>
      <w:pPr>
        <w:pStyle w:val="ListParagraph"/>
        <w:numPr>
          <w:ilvl w:val="0"/>
          <w:numId w:val="2"/>
        </w:numPr>
        <w:spacing w:after="40" w:before="40"/>
      </w:pPr>
      <w:r>
        <w:t xml:space="preserve">✓ No major event in next 24h</w:t>
      </w:r>
    </w:p>
    <w:p>
      <w:pPr>
        <w:pStyle w:val="ListParagraph"/>
        <w:numPr>
          <w:ilvl w:val="0"/>
          <w:numId w:val="2"/>
        </w:numPr>
        <w:spacing w:after="40" w:before="40"/>
      </w:pPr>
      <w:r>
        <w:t xml:space="preserve">✓ GEX not extremely negative</w:t>
      </w:r>
    </w:p>
    <w:p>
      <w:pPr>
        <w:pStyle w:val="ListParagraph"/>
        <w:numPr>
          <w:ilvl w:val="0"/>
          <w:numId w:val="2"/>
        </w:numPr>
        <w:spacing w:after="40" w:before="40"/>
      </w:pPr>
      <w:r>
        <w:t xml:space="preserve">✓ OI walls allow clean strikes</w:t>
      </w:r>
    </w:p>
    <w:p>
      <w:pPr>
        <w:pStyle w:val="Heading3"/>
        <w:spacing w:after="120" w:before="220"/>
      </w:pPr>
      <w:r>
        <w:t xml:space="preserve">Then quality score (0-100)</w:t>
      </w:r>
    </w:p>
    <w:p>
      <w:pPr>
        <w:pStyle w:val="ListParagraph"/>
        <w:numPr>
          <w:ilvl w:val="0"/>
          <w:numId w:val="2"/>
        </w:numPr>
        <w:spacing w:after="40" w:before="40"/>
      </w:pPr>
      <w:r>
        <w:t xml:space="preserve">≥75 → full size</w:t>
      </w:r>
    </w:p>
    <w:p>
      <w:pPr>
        <w:pStyle w:val="ListParagraph"/>
        <w:numPr>
          <w:ilvl w:val="0"/>
          <w:numId w:val="2"/>
        </w:numPr>
        <w:spacing w:after="40" w:before="40"/>
      </w:pPr>
      <w:r>
        <w:t xml:space="preserve">60-75 → standard</w:t>
      </w:r>
    </w:p>
    <w:p>
      <w:pPr>
        <w:pStyle w:val="ListParagraph"/>
        <w:numPr>
          <w:ilvl w:val="0"/>
          <w:numId w:val="2"/>
        </w:numPr>
        <w:spacing w:after="40" w:before="40"/>
      </w:pPr>
      <w:r>
        <w:t xml:space="preserve">45-60 → half size</w:t>
      </w:r>
    </w:p>
    <w:p>
      <w:pPr>
        <w:pStyle w:val="ListParagraph"/>
        <w:numPr>
          <w:ilvl w:val="0"/>
          <w:numId w:val="2"/>
        </w:numPr>
        <w:spacing w:after="40" w:before="40"/>
      </w:pPr>
      <w:r>
        <w:t xml:space="preserve">&lt; 45 → skip</w:t>
      </w:r>
    </w:p>
    <w:p>
      <w:pPr>
        <w:pStyle w:val="Heading3"/>
        <w:spacing w:after="120" w:before="220"/>
      </w:pPr>
      <w:r>
        <w:t xml:space="preserve">Strike selection</w:t>
      </w:r>
    </w:p>
    <w:p>
      <w:pPr>
        <w:pStyle w:val="ListParagraph"/>
        <w:numPr>
          <w:ilvl w:val="0"/>
          <w:numId w:val="2"/>
        </w:numPr>
        <w:spacing w:after="40" w:before="40"/>
      </w:pPr>
      <w:r>
        <w:t xml:space="preserve">.10Δ default, adjust for skew, avoid walls/round numbers</w:t>
      </w:r>
    </w:p>
    <w:p>
      <w:pPr>
        <w:pStyle w:val="ListParagraph"/>
        <w:numPr>
          <w:ilvl w:val="0"/>
          <w:numId w:val="2"/>
        </w:numPr>
        <w:spacing w:after="40" w:before="40"/>
      </w:pPr>
      <w:r>
        <w:t xml:space="preserve">Verify min credit % threshold</w:t>
      </w:r>
    </w:p>
    <w:p>
      <w:pPr>
        <w:pStyle w:val="Heading3"/>
        <w:spacing w:after="120" w:before="220"/>
      </w:pPr>
      <w:r>
        <w:t xml:space="preserve">Expiry choice</w:t>
      </w:r>
    </w:p>
    <w:p>
      <w:pPr>
        <w:pStyle w:val="ListParagraph"/>
        <w:numPr>
          <w:ilvl w:val="0"/>
          <w:numId w:val="2"/>
        </w:numPr>
        <w:spacing w:after="40" w:before="40"/>
      </w:pPr>
      <w:r>
        <w:t xml:space="preserve">7-10 DTE for theta-dominant</w:t>
      </w:r>
    </w:p>
    <w:p>
      <w:pPr>
        <w:pStyle w:val="ListParagraph"/>
        <w:numPr>
          <w:ilvl w:val="0"/>
          <w:numId w:val="2"/>
        </w:numPr>
        <w:spacing w:after="40" w:before="40"/>
      </w:pPr>
      <w:r>
        <w:t xml:space="preserve">10-14 DTE for vega-dominant (IV crush plays)</w:t>
      </w:r>
    </w:p>
    <w:p>
      <w:r>
        <w:br w:type="page"/>
      </w:r>
    </w:p>
    <w:p>
      <w:pPr>
        <w:pStyle w:val="Heading1"/>
        <w:spacing w:after="200" w:before="360"/>
      </w:pPr>
      <w:r>
        <w:t xml:space="preserve">19. Backtest Sheet Schema (~110 columns per trade)</w:t>
      </w:r>
    </w:p>
    <w:p>
      <w:pPr>
        <w:pStyle w:val="ListParagraph"/>
        <w:numPr>
          <w:ilvl w:val="0"/>
          <w:numId w:val="2"/>
        </w:numPr>
        <w:spacing w:after="40" w:before="40"/>
      </w:pPr>
      <w:r>
        <w:rPr>
          <w:b/>
          <w:bCs/>
        </w:rPr>
        <w:t xml:space="preserve">Identity &amp; timing (8): </w:t>
      </w:r>
      <w:r>
        <w:t xml:space="preserve">entry_id, entry/exit timestamps, holding hours, day/hour, DTE, expiry</w:t>
      </w:r>
    </w:p>
    <w:p>
      <w:pPr>
        <w:pStyle w:val="ListParagraph"/>
        <w:numPr>
          <w:ilvl w:val="0"/>
          <w:numId w:val="2"/>
        </w:numPr>
        <w:spacing w:after="40" w:before="40"/>
      </w:pPr>
      <w:r>
        <w:rPr>
          <w:b/>
          <w:bCs/>
        </w:rPr>
        <w:t xml:space="preserve">Position structure (12+): </w:t>
      </w:r>
      <w:r>
        <w:t xml:space="preserve">call/put strikes, IVs, all Greeks at entry, credits, width %, OTM %</w:t>
      </w:r>
    </w:p>
    <w:p>
      <w:pPr>
        <w:pStyle w:val="ListParagraph"/>
        <w:numPr>
          <w:ilvl w:val="0"/>
          <w:numId w:val="2"/>
        </w:numPr>
        <w:spacing w:after="40" w:before="40"/>
      </w:pPr>
      <w:r>
        <w:rPr>
          <w:b/>
          <w:bCs/>
        </w:rPr>
        <w:t xml:space="preserve">Spot context (8): </w:t>
      </w:r>
      <w:r>
        <w:t xml:space="preserve">spot at entry, returns at multiple windows, ATR, ADX, RSI</w:t>
      </w:r>
    </w:p>
    <w:p>
      <w:pPr>
        <w:pStyle w:val="ListParagraph"/>
        <w:numPr>
          <w:ilvl w:val="0"/>
          <w:numId w:val="2"/>
        </w:numPr>
        <w:spacing w:after="40" w:before="40"/>
      </w:pPr>
      <w:r>
        <w:rPr>
          <w:b/>
          <w:bCs/>
        </w:rPr>
        <w:t xml:space="preserve">IV/Vol context (12): </w:t>
      </w:r>
      <w:r>
        <w:t xml:space="preserve">ATM IVs at constant maturities, strangle IV, skew metrics, RV at multiple windows, IV-RV spreads</w:t>
      </w:r>
    </w:p>
    <w:p>
      <w:pPr>
        <w:pStyle w:val="ListParagraph"/>
        <w:numPr>
          <w:ilvl w:val="0"/>
          <w:numId w:val="2"/>
        </w:numPr>
        <w:spacing w:after="40" w:before="40"/>
      </w:pPr>
      <w:r>
        <w:rPr>
          <w:b/>
          <w:bCs/>
        </w:rPr>
        <w:t xml:space="preserve">IVP/RVP (10): </w:t>
      </w:r>
      <w:r>
        <w:t xml:space="preserve">all timeframes for both indicators, VRP percentile</w:t>
      </w:r>
    </w:p>
    <w:p>
      <w:pPr>
        <w:pStyle w:val="ListParagraph"/>
        <w:numPr>
          <w:ilvl w:val="0"/>
          <w:numId w:val="2"/>
        </w:numPr>
        <w:spacing w:after="40" w:before="40"/>
      </w:pPr>
      <w:r>
        <w:rPr>
          <w:b/>
          <w:bCs/>
        </w:rPr>
        <w:t xml:space="preserve">OI/dealer context (8): </w:t>
      </w:r>
      <w:r>
        <w:t xml:space="preserve">PCR, OI walls, distances to walls, GEX, regime, flip distance</w:t>
      </w:r>
    </w:p>
    <w:p>
      <w:pPr>
        <w:pStyle w:val="ListParagraph"/>
        <w:numPr>
          <w:ilvl w:val="0"/>
          <w:numId w:val="2"/>
        </w:numPr>
        <w:spacing w:after="40" w:before="40"/>
      </w:pPr>
      <w:r>
        <w:rPr>
          <w:b/>
          <w:bCs/>
        </w:rPr>
        <w:t xml:space="preserve">Position Greeks (4): </w:t>
      </w:r>
      <w:r>
        <w:t xml:space="preserve">position-level delta, gamma, theta, vega</w:t>
      </w:r>
    </w:p>
    <w:p>
      <w:pPr>
        <w:pStyle w:val="ListParagraph"/>
        <w:numPr>
          <w:ilvl w:val="0"/>
          <w:numId w:val="2"/>
        </w:numPr>
        <w:spacing w:after="40" w:before="40"/>
      </w:pPr>
      <w:r>
        <w:rPr>
          <w:b/>
          <w:bCs/>
        </w:rPr>
        <w:t xml:space="preserve">Computed ratios (15): </w:t>
      </w:r>
      <w:r>
        <w:t xml:space="preserve">all the ratios from Section 10</w:t>
      </w:r>
    </w:p>
    <w:p>
      <w:pPr>
        <w:pStyle w:val="ListParagraph"/>
        <w:numPr>
          <w:ilvl w:val="0"/>
          <w:numId w:val="2"/>
        </w:numPr>
        <w:spacing w:after="40" w:before="40"/>
      </w:pPr>
      <w:r>
        <w:rPr>
          <w:b/>
          <w:bCs/>
        </w:rPr>
        <w:t xml:space="preserve">Attribution (10): </w:t>
      </w:r>
      <w:r>
        <w:t xml:space="preserve">fair credit, structural baseline, IV regime uplift, excess, z-scores, quality score, pattern, pattern winrate</w:t>
      </w:r>
    </w:p>
    <w:p>
      <w:pPr>
        <w:pStyle w:val="ListParagraph"/>
        <w:numPr>
          <w:ilvl w:val="0"/>
          <w:numId w:val="2"/>
        </w:numPr>
        <w:spacing w:after="40" w:before="40"/>
      </w:pPr>
      <w:r>
        <w:rPr>
          <w:b/>
          <w:bCs/>
        </w:rPr>
        <w:t xml:space="preserve">Trade journey arrays: </w:t>
      </w:r>
      <w:r>
        <w:t xml:space="preserve">hourly snapshots of spot, IV, premium, P&amp;L, position Greeks (stored separately)</w:t>
      </w:r>
    </w:p>
    <w:p>
      <w:pPr>
        <w:pStyle w:val="ListParagraph"/>
        <w:numPr>
          <w:ilvl w:val="0"/>
          <w:numId w:val="2"/>
        </w:numPr>
        <w:spacing w:after="40" w:before="40"/>
      </w:pPr>
      <w:r>
        <w:rPr>
          <w:b/>
          <w:bCs/>
        </w:rPr>
        <w:t xml:space="preserve">Hourly attribution (separate parquet): </w:t>
      </w:r>
      <w:r>
        <w:t xml:space="preserve">delta_pnl, gamma_pnl, vega_pnl, theta_pnl, dominant Greek per hour</w:t>
      </w:r>
    </w:p>
    <w:p>
      <w:pPr>
        <w:pStyle w:val="ListParagraph"/>
        <w:numPr>
          <w:ilvl w:val="0"/>
          <w:numId w:val="2"/>
        </w:numPr>
        <w:spacing w:after="40" w:before="40"/>
      </w:pPr>
      <w:r>
        <w:rPr>
          <w:b/>
          <w:bCs/>
        </w:rPr>
        <w:t xml:space="preserve">Outcome (10): </w:t>
      </w:r>
      <w:r>
        <w:t xml:space="preserve">exit details, P&amp;L breakdown, MAE/MFE, breach flags</w:t>
      </w:r>
    </w:p>
    <w:p>
      <w:pPr>
        <w:pStyle w:val="ListParagraph"/>
        <w:numPr>
          <w:ilvl w:val="0"/>
          <w:numId w:val="2"/>
        </w:numPr>
        <w:spacing w:after="40" w:before="40"/>
      </w:pPr>
      <w:r>
        <w:rPr>
          <w:b/>
          <w:bCs/>
        </w:rPr>
        <w:t xml:space="preserve">Diagnosis (3): </w:t>
      </w:r>
      <w:r>
        <w:t xml:space="preserve">win/loss type, dominant Greek over life, auto-generated notes</w:t>
      </w:r>
    </w:p>
    <w:p>
      <w:pPr>
        <w:pStyle w:val="Heading1"/>
        <w:spacing w:after="200" w:before="360"/>
      </w:pPr>
      <w:r>
        <w:t xml:space="preserve">20. Calibration Data (Rolling Baselines)</w:t>
      </w:r>
    </w:p>
    <w:p>
      <w:pPr>
        <w:pStyle w:val="ListParagraph"/>
        <w:numPr>
          <w:ilvl w:val="0"/>
          <w:numId w:val="2"/>
        </w:numPr>
        <w:spacing w:after="40" w:before="40"/>
      </w:pPr>
      <w:r>
        <w:rPr>
          <w:b/>
          <w:bCs/>
        </w:rPr>
        <w:t xml:space="preserve">Universal IVP→credit% curve: </w:t>
      </w:r>
      <w:r>
        <w:t xml:space="preserve">DTE-normalized, refreshed weekly</w:t>
      </w:r>
    </w:p>
    <w:p>
      <w:pPr>
        <w:pStyle w:val="ListParagraph"/>
        <w:numPr>
          <w:ilvl w:val="0"/>
          <w:numId w:val="2"/>
        </w:numPr>
        <w:spacing w:after="40" w:before="40"/>
      </w:pPr>
      <w:r>
        <w:rPr>
          <w:b/>
          <w:bCs/>
        </w:rPr>
        <w:t xml:space="preserve">Personal baselines: </w:t>
      </w:r>
      <w:r>
        <w:t xml:space="preserve">mean/std for all entries and winners (for z-scores)</w:t>
      </w:r>
    </w:p>
    <w:p>
      <w:pPr>
        <w:pStyle w:val="ListParagraph"/>
        <w:numPr>
          <w:ilvl w:val="0"/>
          <w:numId w:val="2"/>
        </w:numPr>
        <w:spacing w:after="40" w:before="40"/>
      </w:pPr>
      <w:r>
        <w:rPr>
          <w:b/>
          <w:bCs/>
        </w:rPr>
        <w:t xml:space="preserve">Pattern statistics: </w:t>
      </w:r>
      <w:r>
        <w:t xml:space="preserve">A/B/C/D win rates, median credits, median P&amp;Ls</w:t>
      </w:r>
    </w:p>
    <w:p>
      <w:pPr>
        <w:pStyle w:val="Heading3"/>
        <w:spacing w:after="120" w:before="220"/>
      </w:pPr>
      <w:r>
        <w:t xml:space="preserve">Pattern detection rules (rule-based)</w:t>
      </w:r>
    </w:p>
    <w:p>
      <w:pPr>
        <w:pStyle w:val="ListParagraph"/>
        <w:numPr>
          <w:ilvl w:val="0"/>
          <w:numId w:val="2"/>
        </w:numPr>
        <w:spacing w:after="40" w:before="40"/>
      </w:pPr>
      <w:r>
        <w:rPr>
          <w:b/>
          <w:bCs/>
        </w:rPr>
        <w:t xml:space="preserve">Pattern A 'Fresh Spike': </w:t>
      </w:r>
      <w:r>
        <w:t xml:space="preserve">IVP_4h &gt; 70 AND IVP_4h delta over 24h &gt; +10</w:t>
      </w:r>
    </w:p>
    <w:p>
      <w:pPr>
        <w:pStyle w:val="ListParagraph"/>
        <w:numPr>
          <w:ilvl w:val="0"/>
          <w:numId w:val="2"/>
        </w:numPr>
        <w:spacing w:after="40" w:before="40"/>
      </w:pPr>
      <w:r>
        <w:rPr>
          <w:b/>
          <w:bCs/>
        </w:rPr>
        <w:t xml:space="preserve">Pattern B 'Post-Crash': </w:t>
      </w:r>
      <w:r>
        <w:t xml:space="preserve">spot_ret_24h &lt; -3% AND IVP_4h &gt; 65</w:t>
      </w:r>
    </w:p>
    <w:p>
      <w:pPr>
        <w:pStyle w:val="ListParagraph"/>
        <w:numPr>
          <w:ilvl w:val="0"/>
          <w:numId w:val="2"/>
        </w:numPr>
        <w:spacing w:after="40" w:before="40"/>
      </w:pPr>
      <w:r>
        <w:rPr>
          <w:b/>
          <w:bCs/>
        </w:rPr>
        <w:t xml:space="preserve">Pattern C 'Stale': </w:t>
      </w:r>
      <w:r>
        <w:t xml:space="preserve">IVP_4h delta over 48h &lt; +3 AND IVP_4h &lt; 60</w:t>
      </w:r>
    </w:p>
    <w:p>
      <w:pPr>
        <w:pStyle w:val="ListParagraph"/>
        <w:numPr>
          <w:ilvl w:val="0"/>
          <w:numId w:val="2"/>
        </w:numPr>
        <w:spacing w:after="40" w:before="40"/>
      </w:pPr>
      <w:r>
        <w:rPr>
          <w:b/>
          <w:bCs/>
        </w:rPr>
        <w:t xml:space="preserve">Pattern D 'Active Trend': </w:t>
      </w:r>
      <w:r>
        <w:t xml:space="preserve">ADX_4h &gt; 25</w:t>
      </w:r>
    </w:p>
    <w:p>
      <w:pPr>
        <w:pStyle w:val="ListParagraph"/>
        <w:numPr>
          <w:ilvl w:val="0"/>
          <w:numId w:val="2"/>
        </w:numPr>
        <w:spacing w:after="40" w:before="40"/>
      </w:pPr>
      <w:r>
        <w:rPr>
          <w:b/>
          <w:bCs/>
        </w:rPr>
        <w:t xml:space="preserve">Otherwise: </w:t>
      </w:r>
      <w:r>
        <w:t xml:space="preserve">'Other'</w:t>
      </w:r>
    </w:p>
    <w:p>
      <w:pPr>
        <w:pStyle w:val="Heading1"/>
        <w:spacing w:after="200" w:before="360"/>
      </w:pPr>
      <w:r>
        <w:t xml:space="preserve">21. Implementation Architecture</w:t>
      </w:r>
    </w:p>
    <w:p>
      <w:pPr>
        <w:shd w:fill="F2F2F2" w:val="clear"/>
        <w:spacing w:after="80" w:before="80"/>
      </w:pPr>
      <w:r>
        <w:rPr>
          <w:rFonts w:ascii="Consolas" w:cs="Consolas" w:eastAsia="Consolas" w:hAnsi="Consolas"/>
          <w:sz w:val="20"/>
          <w:szCs w:val="20"/>
        </w:rPr>
        <w:t xml:space="preserve">COLLECTOR (existing)</w:t>
      </w:r>
    </w:p>
    <w:p>
      <w:pPr>
        <w:shd w:fill="F2F2F2" w:val="clear"/>
        <w:spacing w:after="80" w:before="80"/>
      </w:pPr>
      <w:r>
        <w:rPr>
          <w:rFonts w:ascii="Consolas" w:cs="Consolas" w:eastAsia="Consolas" w:hAnsi="Consolas"/>
          <w:sz w:val="20"/>
          <w:szCs w:val="20"/>
        </w:rPr>
        <w:t xml:space="preserve">  spot_5m.parquet, chain snapshots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ENRICHMENT LAYER (new)</w:t>
      </w:r>
    </w:p>
    <w:p>
      <w:pPr>
        <w:shd w:fill="F2F2F2" w:val="clear"/>
        <w:spacing w:after="80" w:before="80"/>
      </w:pPr>
      <w:r>
        <w:rPr>
          <w:rFonts w:ascii="Consolas" w:cs="Consolas" w:eastAsia="Consolas" w:hAnsi="Consolas"/>
          <w:sz w:val="20"/>
          <w:szCs w:val="20"/>
        </w:rPr>
        <w:t xml:space="preserve">  enrich_spot.py    → spot indicators</w:t>
      </w:r>
    </w:p>
    <w:p>
      <w:pPr>
        <w:shd w:fill="F2F2F2" w:val="clear"/>
        <w:spacing w:after="80" w:before="80"/>
      </w:pPr>
      <w:r>
        <w:rPr>
          <w:rFonts w:ascii="Consolas" w:cs="Consolas" w:eastAsia="Consolas" w:hAnsi="Consolas"/>
          <w:sz w:val="20"/>
          <w:szCs w:val="20"/>
        </w:rPr>
        <w:t xml:space="preserve">  enrich_options.py → options indicators</w:t>
      </w:r>
    </w:p>
    <w:p>
      <w:pPr>
        <w:shd w:fill="F2F2F2" w:val="clear"/>
        <w:spacing w:after="80" w:before="80"/>
      </w:pPr>
      <w:r>
        <w:rPr>
          <w:rFonts w:ascii="Consolas" w:cs="Consolas" w:eastAsia="Consolas" w:hAnsi="Consolas"/>
          <w:sz w:val="20"/>
          <w:szCs w:val="20"/>
        </w:rPr>
        <w:t xml:space="preserve">  enrich_derived.py → joined metrics + pattern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BACKTEST ENGINE (new)</w:t>
      </w:r>
    </w:p>
    <w:p>
      <w:pPr>
        <w:shd w:fill="F2F2F2" w:val="clear"/>
        <w:spacing w:after="80" w:before="80"/>
      </w:pPr>
      <w:r>
        <w:rPr>
          <w:rFonts w:ascii="Consolas" w:cs="Consolas" w:eastAsia="Consolas" w:hAnsi="Consolas"/>
          <w:sz w:val="20"/>
          <w:szCs w:val="20"/>
        </w:rPr>
        <w:t xml:space="preserve">  backtest.py → simulates trades, writes per-trade rows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CALIBRATION (refreshed weekly)</w:t>
      </w:r>
    </w:p>
    <w:p>
      <w:pPr>
        <w:shd w:fill="F2F2F2" w:val="clear"/>
        <w:spacing w:after="80" w:before="80"/>
      </w:pPr>
      <w:r>
        <w:rPr>
          <w:rFonts w:ascii="Consolas" w:cs="Consolas" w:eastAsia="Consolas" w:hAnsi="Consolas"/>
          <w:sz w:val="20"/>
          <w:szCs w:val="20"/>
        </w:rPr>
        <w:t xml:space="preserve">  calibration.py + backfill_attribution.py</w:t>
      </w:r>
    </w:p>
    <w:p>
      <w:pPr>
        <w:shd w:fill="F2F2F2" w:val="clear"/>
        <w:spacing w:after="80" w:before="80"/>
      </w:pPr>
      <w:r>
        <w:rPr>
          <w:rFonts w:ascii="Consolas" w:cs="Consolas" w:eastAsia="Consolas" w:hAnsi="Consolas"/>
          <w:sz w:val="20"/>
          <w:szCs w:val="20"/>
        </w:rPr>
        <w:t xml:space="preserve">  → Universal curve, baselines, quality scores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DASHBOARD (frontend)</w:t>
      </w:r>
    </w:p>
    <w:p>
      <w:pPr>
        <w:shd w:fill="F2F2F2" w:val="clear"/>
        <w:spacing w:after="80" w:before="80"/>
      </w:pPr>
      <w:r>
        <w:rPr>
          <w:rFonts w:ascii="Consolas" w:cs="Consolas" w:eastAsia="Consolas" w:hAnsi="Consolas"/>
          <w:sz w:val="20"/>
          <w:szCs w:val="20"/>
        </w:rPr>
        <w:t xml:space="preserve">  Backtest results table + per-trade attribution card</w:t>
      </w:r>
    </w:p>
    <w:p>
      <w:pPr>
        <w:shd w:fill="F2F2F2" w:val="clear"/>
        <w:spacing w:after="80" w:before="80"/>
      </w:pPr>
      <w:r>
        <w:rPr>
          <w:rFonts w:ascii="Consolas" w:cs="Consolas" w:eastAsia="Consolas" w:hAnsi="Consolas"/>
          <w:sz w:val="20"/>
          <w:szCs w:val="20"/>
        </w:rPr>
        <w:t xml:space="preserve">  Live signal panel (placeholder for future live trading)</w:t>
      </w:r>
    </w:p>
    <w:p>
      <w:pPr>
        <w:pStyle w:val="Heading1"/>
        <w:spacing w:after="200" w:before="360"/>
      </w:pPr>
      <w:r>
        <w:t xml:space="preserve">22. Six-Module Build Plan for Claude Code</w:t>
      </w:r>
    </w:p>
    <w:p>
      <w:pPr>
        <w:pStyle w:val="ListParagraph"/>
        <w:numPr>
          <w:ilvl w:val="0"/>
          <w:numId w:val="2"/>
        </w:numPr>
        <w:spacing w:after="40" w:before="40"/>
      </w:pPr>
      <w:r>
        <w:rPr>
          <w:b/>
          <w:bCs/>
        </w:rPr>
        <w:t xml:space="preserve">1. enrich_spot.py — </w:t>
      </w:r>
      <w:r>
        <w:t xml:space="preserve">all spot indicators from 5-min spot data</w:t>
      </w:r>
    </w:p>
    <w:p>
      <w:pPr>
        <w:pStyle w:val="ListParagraph"/>
        <w:numPr>
          <w:ilvl w:val="0"/>
          <w:numId w:val="2"/>
        </w:numPr>
        <w:spacing w:after="40" w:before="40"/>
      </w:pPr>
      <w:r>
        <w:rPr>
          <w:b/>
          <w:bCs/>
        </w:rPr>
        <w:t xml:space="preserve">2. enrich_options.py — </w:t>
      </w:r>
      <w:r>
        <w:t xml:space="preserve">constant-maturity IVs, IVP, skew, term, GEX</w:t>
      </w:r>
    </w:p>
    <w:p>
      <w:pPr>
        <w:pStyle w:val="ListParagraph"/>
        <w:numPr>
          <w:ilvl w:val="0"/>
          <w:numId w:val="2"/>
        </w:numPr>
        <w:spacing w:after="40" w:before="40"/>
      </w:pPr>
      <w:r>
        <w:rPr>
          <w:b/>
          <w:bCs/>
        </w:rPr>
        <w:t xml:space="preserve">3. enrich_derived.py — </w:t>
      </w:r>
      <w:r>
        <w:t xml:space="preserve">VRP, expected moves, pattern detection</w:t>
      </w:r>
    </w:p>
    <w:p>
      <w:pPr>
        <w:pStyle w:val="ListParagraph"/>
        <w:numPr>
          <w:ilvl w:val="0"/>
          <w:numId w:val="2"/>
        </w:numPr>
        <w:spacing w:after="40" w:before="40"/>
      </w:pPr>
      <w:r>
        <w:rPr>
          <w:b/>
          <w:bCs/>
        </w:rPr>
        <w:t xml:space="preserve">4. backtest.py — </w:t>
      </w:r>
      <w:r>
        <w:t xml:space="preserve">simulates entries, computes 110-column rows + path arrays</w:t>
      </w:r>
    </w:p>
    <w:p>
      <w:pPr>
        <w:pStyle w:val="ListParagraph"/>
        <w:numPr>
          <w:ilvl w:val="0"/>
          <w:numId w:val="2"/>
        </w:numPr>
        <w:spacing w:after="40" w:before="40"/>
      </w:pPr>
      <w:r>
        <w:rPr>
          <w:b/>
          <w:bCs/>
        </w:rPr>
        <w:t xml:space="preserve">5. calibration.py + backfill_attribution.py — </w:t>
      </w:r>
      <w:r>
        <w:t xml:space="preserve">curves, z-scores, quality scores</w:t>
      </w:r>
    </w:p>
    <w:p>
      <w:pPr>
        <w:pStyle w:val="ListParagraph"/>
        <w:numPr>
          <w:ilvl w:val="0"/>
          <w:numId w:val="2"/>
        </w:numPr>
        <w:spacing w:after="40" w:before="40"/>
      </w:pPr>
      <w:r>
        <w:rPr>
          <w:b/>
          <w:bCs/>
        </w:rPr>
        <w:t xml:space="preserve">6. Frontend dashboard — </w:t>
      </w:r>
      <w:r>
        <w:t xml:space="preserve">backtest results table + attribution cards + live signal placeholder</w:t>
      </w:r>
    </w:p>
    <w:p>
      <w:pPr>
        <w:spacing w:after="80" w:before="80"/>
      </w:pPr>
      <w:r>
        <w:t xml:space="preserve">Each module has stop-and-review gates. Built on Polars + DuckDB, Vite + React, respecting your existing IST timezone, single-worker backend, and CLAUDE.md rules.</w:t>
      </w:r>
    </w:p>
    <w:p>
      <w:pPr>
        <w:pStyle w:val="Heading1"/>
        <w:spacing w:after="200" w:before="360"/>
      </w:pPr>
      <w:r>
        <w:t xml:space="preserve">23. Key Honest Caveats</w:t>
      </w:r>
    </w:p>
    <w:p>
      <w:pPr>
        <w:pStyle w:val="ListParagraph"/>
        <w:numPr>
          <w:ilvl w:val="0"/>
          <w:numId w:val="2"/>
        </w:numPr>
        <w:spacing w:after="40" w:before="40"/>
      </w:pPr>
      <w:r>
        <w:rPr>
          <w:b/>
          <w:bCs/>
        </w:rPr>
        <w:t xml:space="preserve">1. </w:t>
      </w:r>
      <w:r>
        <w:t xml:space="preserve">Median/z-score baselines are unreliable below 30 entries. Use 0.50% credit % as placeholder until you have real data.</w:t>
      </w:r>
    </w:p>
    <w:p>
      <w:pPr>
        <w:pStyle w:val="ListParagraph"/>
        <w:numPr>
          <w:ilvl w:val="0"/>
          <w:numId w:val="2"/>
        </w:numPr>
        <w:spacing w:after="40" w:before="40"/>
      </w:pPr>
      <w:r>
        <w:rPr>
          <w:b/>
          <w:bCs/>
        </w:rPr>
        <w:t xml:space="preserve">2. </w:t>
      </w:r>
      <w:r>
        <w:t xml:space="preserve">Per-DTE bucketing fragments small samples. Use √DTE normalization for one universal curve.</w:t>
      </w:r>
    </w:p>
    <w:p>
      <w:pPr>
        <w:pStyle w:val="ListParagraph"/>
        <w:numPr>
          <w:ilvl w:val="0"/>
          <w:numId w:val="2"/>
        </w:numPr>
        <w:spacing w:after="40" w:before="40"/>
      </w:pPr>
      <w:r>
        <w:rPr>
          <w:b/>
          <w:bCs/>
        </w:rPr>
        <w:t xml:space="preserve">3. </w:t>
      </w:r>
      <w:r>
        <w:t xml:space="preserve">GEX assumes customer-net-long sign convention — it's an approximation; academic disputes exist.</w:t>
      </w:r>
    </w:p>
    <w:p>
      <w:pPr>
        <w:pStyle w:val="ListParagraph"/>
        <w:numPr>
          <w:ilvl w:val="0"/>
          <w:numId w:val="2"/>
        </w:numPr>
        <w:spacing w:after="40" w:before="40"/>
      </w:pPr>
      <w:r>
        <w:rPr>
          <w:b/>
          <w:bCs/>
        </w:rPr>
        <w:t xml:space="preserve">4. </w:t>
      </w:r>
      <w:r>
        <w:t xml:space="preserve">IVP at the wrong tenor is misleading. A 30DTE-based IVP can hide event premium in 7DTE IV. Build per-tenor IVPs.</w:t>
      </w:r>
    </w:p>
    <w:p>
      <w:pPr>
        <w:pStyle w:val="ListParagraph"/>
        <w:numPr>
          <w:ilvl w:val="0"/>
          <w:numId w:val="2"/>
        </w:numPr>
        <w:spacing w:after="40" w:before="40"/>
      </w:pPr>
      <w:r>
        <w:rPr>
          <w:b/>
          <w:bCs/>
        </w:rPr>
        <w:t xml:space="preserve">5. </w:t>
      </w:r>
      <w:r>
        <w:t xml:space="preserve">Theoretical vs empirical attribution can differ. Greeks-based attribution leaves residuals; for stressed markets, use full repricing.</w:t>
      </w:r>
    </w:p>
    <w:p>
      <w:pPr>
        <w:pStyle w:val="ListParagraph"/>
        <w:numPr>
          <w:ilvl w:val="0"/>
          <w:numId w:val="2"/>
        </w:numPr>
        <w:spacing w:after="40" w:before="40"/>
      </w:pPr>
      <w:r>
        <w:rPr>
          <w:b/>
          <w:bCs/>
        </w:rPr>
        <w:t xml:space="preserve">6. </w:t>
      </w:r>
      <w:r>
        <w:t xml:space="preserve">No system guarantees outcomes. All these indicators shift probabilities. Position sizing matters more than entry filters.</w:t>
      </w:r>
    </w:p>
    <w:p>
      <w:pPr>
        <w:pStyle w:val="Heading1"/>
        <w:spacing w:after="200" w:before="360"/>
      </w:pPr>
      <w:r>
        <w:t xml:space="preserve">24. The Three Key Insights</w:t>
      </w:r>
    </w:p>
    <w:p>
      <w:pPr>
        <w:pStyle w:val="Heading3"/>
        <w:spacing w:after="120" w:before="220"/>
      </w:pPr>
      <w:r>
        <w:t xml:space="preserve">Insight 1 — Premium Decomposition</w:t>
      </w:r>
    </w:p>
    <w:p>
      <w:pPr>
        <w:spacing w:after="80" w:before="80"/>
      </w:pPr>
      <w:r>
        <w:t xml:space="preserve">Total credit = Structural baseline + IV regime uplift + Excess. Each has different risk profiles (theta-decays vs vega-vulnerable vs noise). Knowing which dominates tells you the trade's character.</w:t>
      </w:r>
    </w:p>
    <w:p>
      <w:pPr>
        <w:pStyle w:val="Heading3"/>
        <w:spacing w:after="120" w:before="220"/>
      </w:pPr>
      <w:r>
        <w:t xml:space="preserve">Insight 2 — Gamma Is Risk, Not Signal</w:t>
      </w:r>
    </w:p>
    <w:p>
      <w:pPr>
        <w:spacing w:after="80" w:before="80"/>
      </w:pPr>
      <w:r>
        <w:t xml:space="preserve">Position gamma (you're always short in a strangle) and dealer gamma (market regime) are both about amplification, not direction. They tell you how violent moves will be — not whether moves will happen.</w:t>
      </w:r>
    </w:p>
    <w:p>
      <w:pPr>
        <w:pStyle w:val="Heading3"/>
        <w:spacing w:after="120" w:before="220"/>
      </w:pPr>
      <w:r>
        <w:t xml:space="preserve">Insight 3 — Multi-Signal Triangulation</w:t>
      </w:r>
    </w:p>
    <w:p>
      <w:pPr>
        <w:spacing w:after="80" w:before="80"/>
      </w:pPr>
      <w:r>
        <w:t xml:space="preserve">No single indicator works. Z-score answers "rich for me?" IVP answers "rich for market?" Pattern winrate answers "is this setup my edge?" When all three align, you have conviction. When they disagree, you investigate before acting.</w:t>
      </w:r>
    </w:p>
    <w:p>
      <w:pPr>
        <w:spacing w:after="200" w:before="600"/>
        <w:jc w:val="center"/>
      </w:pPr>
      <w:r>
        <w:rPr>
          <w:i/>
          <w:iCs/>
          <w:color w:val="80808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75E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Strangle Strategy - Complete Discussion Summary</dc:title>
  <dc:creator>Claude</dc:creator>
  <cp:lastModifiedBy>Un-named</cp:lastModifiedBy>
  <cp:revision>1</cp:revision>
  <dcterms:created xsi:type="dcterms:W3CDTF">2026-05-02T09:20:36.194Z</dcterms:created>
  <dcterms:modified xsi:type="dcterms:W3CDTF">2026-05-02T09:20:36.194Z</dcterms:modified>
</cp:coreProperties>
</file>

<file path=docProps/custom.xml><?xml version="1.0" encoding="utf-8"?>
<Properties xmlns="http://schemas.openxmlformats.org/officeDocument/2006/custom-properties" xmlns:vt="http://schemas.openxmlformats.org/officeDocument/2006/docPropsVTypes"/>
</file>