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0F8" w14:paraId="7A412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260" w:type="dxa"/>
              <w:left w:w="320" w:type="dxa"/>
              <w:bottom w:w="260" w:type="dxa"/>
              <w:right w:w="320" w:type="dxa"/>
            </w:tcMar>
            <w:vAlign w:val="center"/>
          </w:tcPr>
          <w:p w14:paraId="22E5BED9" w14:textId="77777777" w:rsidR="007600F8" w:rsidRDefault="00000000">
            <w:pPr>
              <w:spacing w:after="40"/>
            </w:pPr>
            <w:r>
              <w:rPr>
                <w:b/>
                <w:bCs/>
                <w:color w:val="FFFFFF"/>
                <w:sz w:val="30"/>
                <w:szCs w:val="30"/>
              </w:rPr>
              <w:t>ORACLE → PYSPARK MIGRATION STRATEGY FRAMEWORK</w:t>
            </w:r>
          </w:p>
          <w:p w14:paraId="62D75768" w14:textId="4CCEE2FF" w:rsidR="007600F8" w:rsidRDefault="00000000">
            <w:r>
              <w:rPr>
                <w:i/>
                <w:iCs/>
                <w:color w:val="CFE0DD"/>
                <w:sz w:val="19"/>
                <w:szCs w:val="19"/>
              </w:rPr>
              <w:t xml:space="preserve">Objective &amp; </w:t>
            </w:r>
            <w:r w:rsidR="00DC55E3">
              <w:rPr>
                <w:i/>
                <w:iCs/>
                <w:color w:val="CFE0DD"/>
                <w:sz w:val="19"/>
                <w:szCs w:val="19"/>
              </w:rPr>
              <w:t>Solution ·</w:t>
            </w:r>
            <w:r>
              <w:rPr>
                <w:i/>
                <w:iCs/>
                <w:color w:val="CFE0DD"/>
                <w:sz w:val="19"/>
                <w:szCs w:val="19"/>
              </w:rPr>
              <w:t xml:space="preserve">  PL/SQL → AST Graph → Neo4j → PySpark Migration Triage</w:t>
            </w:r>
          </w:p>
        </w:tc>
      </w:tr>
    </w:tbl>
    <w:p w14:paraId="2FEA5D46" w14:textId="77777777" w:rsidR="007600F8" w:rsidRDefault="007600F8">
      <w:pPr>
        <w:spacing w:after="180"/>
      </w:pPr>
    </w:p>
    <w:p w14:paraId="4D091F12" w14:textId="3D12BC70" w:rsidR="007600F8" w:rsidRDefault="00000000">
      <w:pPr>
        <w:pStyle w:val="Heading1"/>
        <w:pBdr>
          <w:left w:val="single" w:sz="24" w:space="6" w:color="1F7A72"/>
        </w:pBdr>
        <w:spacing w:before="260" w:after="100"/>
        <w:ind w:left="120"/>
      </w:pPr>
      <w:r>
        <w:rPr>
          <w:b/>
          <w:bCs/>
          <w:color w:val="1B2A4A"/>
          <w:sz w:val="27"/>
          <w:szCs w:val="27"/>
        </w:rPr>
        <w:t>1</w:t>
      </w:r>
      <w:r w:rsidR="00DC55E3">
        <w:rPr>
          <w:b/>
          <w:bCs/>
          <w:color w:val="1B2A4A"/>
          <w:sz w:val="27"/>
          <w:szCs w:val="27"/>
        </w:rPr>
        <w:t>. Objective</w:t>
      </w:r>
    </w:p>
    <w:p w14:paraId="71F9CACE" w14:textId="46A33679" w:rsidR="007600F8" w:rsidRDefault="00DC55E3">
      <w:pPr>
        <w:spacing w:after="110" w:line="268" w:lineRule="auto"/>
      </w:pPr>
      <w:r>
        <w:t xml:space="preserve">Code </w:t>
      </w:r>
      <w:r w:rsidR="00000000">
        <w:t xml:space="preserve">turns Oracle PL/SQL — packages, procedures, functions, triggers, and DDL — into a defensible, human-reviewable verdict on how each unit should move to PySpark </w:t>
      </w:r>
      <w:r>
        <w:t xml:space="preserve">or in Oracle </w:t>
      </w:r>
      <w:r w:rsidR="00000000">
        <w:t>. It aims to:</w:t>
      </w:r>
    </w:p>
    <w:p w14:paraId="16E635CD" w14:textId="77777777" w:rsidR="007600F8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B2A4A"/>
        </w:rPr>
        <w:t xml:space="preserve">True structural parsing — </w:t>
      </w:r>
      <w:r>
        <w:t>packages, nested procedures, control flow, exception handling, embedded and dynamic SQL, captured as a real AST rather than superficial text matching.</w:t>
      </w:r>
    </w:p>
    <w:p w14:paraId="18AAC1C8" w14:textId="13B25856" w:rsidR="007600F8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B2A4A"/>
        </w:rPr>
        <w:t xml:space="preserve">A </w:t>
      </w:r>
      <w:r w:rsidR="00DC55E3">
        <w:rPr>
          <w:b/>
          <w:bCs/>
          <w:color w:val="1B2A4A"/>
        </w:rPr>
        <w:t>query able</w:t>
      </w:r>
      <w:r>
        <w:rPr>
          <w:b/>
          <w:bCs/>
          <w:color w:val="1B2A4A"/>
        </w:rPr>
        <w:t xml:space="preserve"> graph, not a report — </w:t>
      </w:r>
      <w:r>
        <w:t xml:space="preserve">an Information Graph for raw structure plus a Knowledge Graph layering in dependencies, DDL history, and </w:t>
      </w:r>
      <w:proofErr w:type="spellStart"/>
      <w:r>
        <w:t>Oracle→Spark</w:t>
      </w:r>
      <w:proofErr w:type="spellEnd"/>
      <w:r>
        <w:t xml:space="preserve"> construct mapping, stored in Neo4j.</w:t>
      </w:r>
    </w:p>
    <w:p w14:paraId="69D8D3FF" w14:textId="77777777" w:rsidR="007600F8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B2A4A"/>
        </w:rPr>
        <w:t xml:space="preserve">Explicit, tunable scoring — </w:t>
      </w:r>
      <w:r>
        <w:t>every routine is classified into one of three migration verdicts against a transparent rubric, so the output is triage for human review — never an unreviewable automatic decision.</w:t>
      </w:r>
    </w:p>
    <w:p w14:paraId="3E49BC46" w14:textId="77777777" w:rsidR="007600F8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B2A4A"/>
        </w:rPr>
        <w:t xml:space="preserve">Targeted code generation — </w:t>
      </w:r>
      <w:r>
        <w:t>PySpark skeletons for convertible units, with the rest clearly flagged and tied to the specific Oracle construct responsible.</w:t>
      </w:r>
    </w:p>
    <w:p w14:paraId="2DC88CB7" w14:textId="6D44A282" w:rsidR="007600F8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B2A4A"/>
        </w:rPr>
        <w:t xml:space="preserve">Corpus-scale resolution — </w:t>
      </w:r>
      <w:r>
        <w:t xml:space="preserve">a single file or an entire codebase, with cross-file calls </w:t>
      </w:r>
      <w:r w:rsidR="00DC55E3">
        <w:t>resolved,</w:t>
      </w:r>
      <w:r>
        <w:t xml:space="preserve"> so the graph reflects the whole estate.</w:t>
      </w:r>
    </w:p>
    <w:p w14:paraId="01CB26AB" w14:textId="77777777" w:rsidR="007600F8" w:rsidRDefault="00000000">
      <w:pPr>
        <w:spacing w:after="110" w:line="268" w:lineRule="auto"/>
      </w:pPr>
      <w:r>
        <w:rPr>
          <w:i/>
          <w:iCs/>
          <w:color w:val="6B7280"/>
        </w:rPr>
        <w:t>Non-goal: a guaranteed-equivalent, fully automated translation. Generated PySpark is a reviewed starting point and every verdict is triage, by design.</w:t>
      </w:r>
    </w:p>
    <w:p w14:paraId="69972DF5" w14:textId="0D1273DA" w:rsidR="007600F8" w:rsidRDefault="00000000">
      <w:pPr>
        <w:pStyle w:val="Heading1"/>
        <w:pBdr>
          <w:left w:val="single" w:sz="24" w:space="6" w:color="1F7A72"/>
        </w:pBdr>
        <w:spacing w:before="260" w:after="100"/>
        <w:ind w:left="120"/>
      </w:pPr>
      <w:r>
        <w:rPr>
          <w:b/>
          <w:bCs/>
          <w:color w:val="1B2A4A"/>
          <w:sz w:val="27"/>
          <w:szCs w:val="27"/>
        </w:rPr>
        <w:t>2</w:t>
      </w:r>
      <w:r w:rsidR="00DC55E3">
        <w:rPr>
          <w:b/>
          <w:bCs/>
          <w:color w:val="1B2A4A"/>
          <w:sz w:val="27"/>
          <w:szCs w:val="27"/>
        </w:rPr>
        <w:t>. Solution</w:t>
      </w:r>
    </w:p>
    <w:p w14:paraId="67CB06EA" w14:textId="4173663F" w:rsidR="007600F8" w:rsidRDefault="00000000">
      <w:pPr>
        <w:spacing w:after="110" w:line="268" w:lineRule="auto"/>
      </w:pPr>
      <w:r>
        <w:t>A staged pipeline turns a .</w:t>
      </w:r>
      <w:proofErr w:type="spellStart"/>
      <w:r>
        <w:t>sql</w:t>
      </w:r>
      <w:proofErr w:type="spellEnd"/>
      <w:r>
        <w:t xml:space="preserve"> file — or a multi-file corpus — into a scored, </w:t>
      </w:r>
      <w:r w:rsidR="00DC55E3">
        <w:t>query able</w:t>
      </w:r>
      <w:r>
        <w:t xml:space="preserve"> graph and generated PySpark code: Parse → Build Graph → Enrich (Knowledge Graph) → Score &amp; Classify → Generate PySpark.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0F8" w14:paraId="685DB989" w14:textId="77777777">
        <w:tblPrEx>
          <w:tblCellMar>
            <w:top w:w="0" w:type="dxa"/>
            <w:bottom w:w="0" w:type="dxa"/>
          </w:tblCellMar>
        </w:tblPrEx>
        <w:trPr>
          <w:trHeight w:val="3100"/>
        </w:trPr>
        <w:tc>
          <w:tcPr>
            <w:tcW w:w="9360" w:type="dxa"/>
            <w:tcBorders>
              <w:top w:val="dashed" w:sz="8" w:space="0" w:color="9AA7C7"/>
              <w:left w:val="dashed" w:sz="8" w:space="0" w:color="9AA7C7"/>
              <w:bottom w:val="dashed" w:sz="8" w:space="0" w:color="9AA7C7"/>
              <w:right w:val="dashed" w:sz="8" w:space="0" w:color="9AA7C7"/>
            </w:tcBorders>
            <w:shd w:val="clear" w:color="auto" w:fill="FBFC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D539F6" w14:textId="77777777" w:rsidR="007600F8" w:rsidRDefault="00000000">
            <w:pPr>
              <w:spacing w:after="6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◇  DATAFLOW / ARCHITECTURE DIAGRAM  ◇</w:t>
            </w:r>
          </w:p>
          <w:p w14:paraId="791D9557" w14:textId="77777777" w:rsidR="007600F8" w:rsidRDefault="00000000">
            <w:pPr>
              <w:spacing w:after="40"/>
              <w:jc w:val="center"/>
            </w:pPr>
            <w:r>
              <w:rPr>
                <w:i/>
                <w:iCs/>
                <w:color w:val="6B7280"/>
                <w:sz w:val="17"/>
                <w:szCs w:val="17"/>
              </w:rPr>
              <w:t>Space reserved for the end-to-end pipeline visual</w:t>
            </w:r>
          </w:p>
          <w:p w14:paraId="7EF717EC" w14:textId="77777777" w:rsidR="007600F8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( .</w:t>
            </w:r>
            <w:proofErr w:type="spellStart"/>
            <w:r>
              <w:rPr>
                <w:color w:val="6B7280"/>
                <w:sz w:val="16"/>
                <w:szCs w:val="16"/>
              </w:rPr>
              <w:t>sql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source  →  AST  →  Graph Build  →  Neo4j  →  Scoring  →  PySpark )</w:t>
            </w:r>
          </w:p>
        </w:tc>
      </w:tr>
    </w:tbl>
    <w:p w14:paraId="6EA39FE6" w14:textId="77777777" w:rsidR="007600F8" w:rsidRDefault="007600F8">
      <w:pPr>
        <w:spacing w:after="60"/>
      </w:pPr>
    </w:p>
    <w:p w14:paraId="163A204F" w14:textId="77777777" w:rsidR="007600F8" w:rsidRDefault="00000000">
      <w:pPr>
        <w:pStyle w:val="Heading2"/>
        <w:spacing w:before="160" w:after="80"/>
      </w:pPr>
      <w:r>
        <w:rPr>
          <w:b/>
          <w:bCs/>
          <w:color w:val="1F7A72"/>
          <w:sz w:val="21"/>
          <w:szCs w:val="21"/>
        </w:rPr>
        <w:t>2.1  Graph Model</w:t>
      </w:r>
    </w:p>
    <w:p w14:paraId="4EF643F3" w14:textId="77777777" w:rsidR="007600F8" w:rsidRDefault="00000000">
      <w:pPr>
        <w:spacing w:after="110" w:line="268" w:lineRule="auto"/>
      </w:pPr>
      <w:r>
        <w:t>schema.py is the single source of truth: every node label and relationship type — with allowed source/target pairs — is defined once, so the graph stays uniform across the whole corpus.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7600F8" w14:paraId="1E863F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9A588" w14:textId="77777777" w:rsidR="007600F8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4200" w:type="dxa"/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02D99" w14:textId="77777777" w:rsidR="007600F8" w:rsidRDefault="00000000">
            <w:r>
              <w:rPr>
                <w:b/>
                <w:bCs/>
                <w:color w:val="FFFFFF"/>
                <w:sz w:val="17"/>
                <w:szCs w:val="17"/>
              </w:rPr>
              <w:t>Node labels</w:t>
            </w:r>
          </w:p>
        </w:tc>
        <w:tc>
          <w:tcPr>
            <w:tcW w:w="2760" w:type="dxa"/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1FC3A" w14:textId="77777777" w:rsidR="007600F8" w:rsidRDefault="00000000">
            <w:r>
              <w:rPr>
                <w:b/>
                <w:bCs/>
                <w:color w:val="FFFFFF"/>
                <w:sz w:val="17"/>
                <w:szCs w:val="17"/>
              </w:rPr>
              <w:t>Relationships</w:t>
            </w:r>
          </w:p>
        </w:tc>
      </w:tr>
      <w:tr w:rsidR="007600F8" w14:paraId="27375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F39F48F" w14:textId="77777777" w:rsidR="007600F8" w:rsidRDefault="00000000">
            <w:r>
              <w:rPr>
                <w:sz w:val="17"/>
                <w:szCs w:val="17"/>
              </w:rPr>
              <w:t>Information Graph</w:t>
            </w:r>
          </w:p>
        </w:tc>
        <w:tc>
          <w:tcPr>
            <w:tcW w:w="420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67CBA6" w14:textId="77777777" w:rsidR="007600F8" w:rsidRDefault="00000000">
            <w:r>
              <w:rPr>
                <w:sz w:val="17"/>
                <w:szCs w:val="17"/>
              </w:rPr>
              <w:t xml:space="preserve">Package, Procedure, Function, Trigger, Parameter, Variable, Cursor, Block, Loop, Branch, </w:t>
            </w:r>
            <w:proofErr w:type="spellStart"/>
            <w:r>
              <w:rPr>
                <w:sz w:val="17"/>
                <w:szCs w:val="17"/>
              </w:rPr>
              <w:t>SqlStatement</w:t>
            </w:r>
            <w:proofErr w:type="spellEnd"/>
            <w:r>
              <w:rPr>
                <w:sz w:val="17"/>
                <w:szCs w:val="17"/>
              </w:rPr>
              <w:t>, Table, View, Column, Sequence</w:t>
            </w:r>
          </w:p>
        </w:tc>
        <w:tc>
          <w:tcPr>
            <w:tcW w:w="276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FC4D89" w14:textId="77777777" w:rsidR="007600F8" w:rsidRDefault="00000000">
            <w:r>
              <w:rPr>
                <w:sz w:val="17"/>
                <w:szCs w:val="17"/>
              </w:rPr>
              <w:t>CONTAINS, DECLARES, HAS_BLOCK, EXECUTES, READS, WRITES, REFERENCES, CALLS, HANDLES</w:t>
            </w:r>
          </w:p>
        </w:tc>
      </w:tr>
      <w:tr w:rsidR="007600F8" w14:paraId="20B92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2063F90" w14:textId="77777777" w:rsidR="007600F8" w:rsidRDefault="00000000">
            <w:r>
              <w:rPr>
                <w:sz w:val="17"/>
                <w:szCs w:val="17"/>
              </w:rPr>
              <w:t>Knowledge Graph</w:t>
            </w:r>
          </w:p>
        </w:tc>
        <w:tc>
          <w:tcPr>
            <w:tcW w:w="420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C12B51" w14:textId="77777777" w:rsidR="007600F8" w:rsidRDefault="00000000">
            <w:proofErr w:type="spellStart"/>
            <w:r>
              <w:rPr>
                <w:sz w:val="17"/>
                <w:szCs w:val="17"/>
              </w:rPr>
              <w:t>MigrationAssessment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OracleConstruct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SparkConstruct</w:t>
            </w:r>
            <w:proofErr w:type="spellEnd"/>
          </w:p>
        </w:tc>
        <w:tc>
          <w:tcPr>
            <w:tcW w:w="276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1A77826" w14:textId="77777777" w:rsidR="007600F8" w:rsidRDefault="00000000">
            <w:r>
              <w:rPr>
                <w:sz w:val="17"/>
                <w:szCs w:val="17"/>
              </w:rPr>
              <w:t>ASSESSED_AS, USES_CONSTRUCT, MAPS_TO</w:t>
            </w:r>
          </w:p>
        </w:tc>
      </w:tr>
    </w:tbl>
    <w:p w14:paraId="7AF512F6" w14:textId="77777777" w:rsidR="007600F8" w:rsidRDefault="00000000">
      <w:pPr>
        <w:spacing w:after="110" w:line="268" w:lineRule="auto"/>
      </w:pPr>
      <w:r>
        <w:rPr>
          <w:color w:val="6B7280"/>
          <w:sz w:val="19"/>
          <w:szCs w:val="19"/>
        </w:rPr>
        <w:lastRenderedPageBreak/>
        <w:t>Every load is schema-validated (</w:t>
      </w:r>
      <w:proofErr w:type="spellStart"/>
      <w:r>
        <w:rPr>
          <w:color w:val="6B7280"/>
          <w:sz w:val="19"/>
          <w:szCs w:val="19"/>
        </w:rPr>
        <w:t>schema.validate_graph</w:t>
      </w:r>
      <w:proofErr w:type="spellEnd"/>
      <w:r>
        <w:rPr>
          <w:color w:val="6B7280"/>
          <w:sz w:val="19"/>
          <w:szCs w:val="19"/>
        </w:rPr>
        <w:t>) and constrained for idempotent MERGE (REQUIRE n.id IS UNIQUE per label) — the graph cannot silently drift out of shape.</w:t>
      </w:r>
    </w:p>
    <w:p w14:paraId="26E56732" w14:textId="77777777" w:rsidR="007600F8" w:rsidRDefault="00000000">
      <w:pPr>
        <w:pStyle w:val="Heading2"/>
        <w:spacing w:before="160" w:after="80"/>
      </w:pPr>
      <w:r>
        <w:rPr>
          <w:b/>
          <w:bCs/>
          <w:color w:val="1F7A72"/>
          <w:sz w:val="21"/>
          <w:szCs w:val="21"/>
        </w:rPr>
        <w:t>2.2  Knowledge Layer &amp; Verdict Logic</w:t>
      </w:r>
    </w:p>
    <w:p w14:paraId="49B4BE82" w14:textId="77777777" w:rsidR="007600F8" w:rsidRDefault="00000000">
      <w:pPr>
        <w:spacing w:after="110" w:line="268" w:lineRule="auto"/>
      </w:pPr>
      <w:r>
        <w:t xml:space="preserve">knowledge.py builds a reusable </w:t>
      </w:r>
      <w:proofErr w:type="spellStart"/>
      <w:r>
        <w:t>Oracle→Spark</w:t>
      </w:r>
      <w:proofErr w:type="spellEnd"/>
      <w:r>
        <w:t xml:space="preserve"> construct map — each construct tagged DIRECT, REWRITE, or UNSUPPORTED — and links every routine to the constructs it actually uses. A routine touching any UNSUPPORTED construct (autonomous transaction, </w:t>
      </w:r>
      <w:proofErr w:type="spellStart"/>
      <w:r>
        <w:t>savepoint</w:t>
      </w:r>
      <w:proofErr w:type="spellEnd"/>
      <w:r>
        <w:t>) can never be marked a clean conversion, regardless of how set-based it otherwise looks. The final verdict is read back out of the graph itself (</w:t>
      </w:r>
      <w:proofErr w:type="spellStart"/>
      <w:r>
        <w:t>graph_verdict</w:t>
      </w:r>
      <w:proofErr w:type="spellEnd"/>
      <w:r>
        <w:t>), so it stays fully traceable to nodes and edges rather than hidden heuristics.</w:t>
      </w:r>
    </w:p>
    <w:p w14:paraId="35FD56CC" w14:textId="77777777" w:rsidR="007600F8" w:rsidRDefault="00000000">
      <w:pPr>
        <w:pStyle w:val="Heading2"/>
        <w:spacing w:before="160" w:after="80"/>
      </w:pPr>
      <w:r>
        <w:rPr>
          <w:b/>
          <w:bCs/>
          <w:color w:val="1F7A72"/>
          <w:sz w:val="21"/>
          <w:szCs w:val="21"/>
        </w:rPr>
        <w:t>2.3  Migration Triage &amp; Logic-Pattern Classification</w:t>
      </w:r>
    </w:p>
    <w:p w14:paraId="52F79438" w14:textId="77777777" w:rsidR="007600F8" w:rsidRDefault="00000000">
      <w:pPr>
        <w:spacing w:after="110" w:line="268" w:lineRule="auto"/>
      </w:pPr>
      <w:r>
        <w:t xml:space="preserve">Two explicit scores — </w:t>
      </w:r>
      <w:proofErr w:type="spellStart"/>
      <w:r>
        <w:t>set_based_score</w:t>
      </w:r>
      <w:proofErr w:type="spellEnd"/>
      <w:r>
        <w:t xml:space="preserve"> (joins, aggregates, bulk DML) and </w:t>
      </w:r>
      <w:proofErr w:type="spellStart"/>
      <w:r>
        <w:t>oracle_lock_score</w:t>
      </w:r>
      <w:proofErr w:type="spellEnd"/>
      <w:r>
        <w:t xml:space="preserve"> (cursors, sequences, autonomous transactions, DBMS_*/UTL_* calls) — combine with a logic-pattern read of each routine's shape to drive the verdict: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7600F8" w14:paraId="2C9F8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E0673" w14:textId="77777777" w:rsidR="007600F8" w:rsidRDefault="00000000">
            <w:r>
              <w:rPr>
                <w:b/>
                <w:bCs/>
                <w:color w:val="FFFFFF"/>
                <w:sz w:val="17"/>
                <w:szCs w:val="17"/>
              </w:rPr>
              <w:t>Signal</w:t>
            </w:r>
          </w:p>
        </w:tc>
        <w:tc>
          <w:tcPr>
            <w:tcW w:w="4760" w:type="dxa"/>
            <w:shd w:val="clear" w:color="auto" w:fill="1B2A4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A6F5F" w14:textId="77777777" w:rsidR="007600F8" w:rsidRDefault="00000000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</w:tr>
      <w:tr w:rsidR="007600F8" w14:paraId="73681E6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F95BA05" w14:textId="77777777" w:rsidR="007600F8" w:rsidRDefault="00000000">
            <w:r>
              <w:rPr>
                <w:sz w:val="17"/>
                <w:szCs w:val="17"/>
              </w:rPr>
              <w:t>Low set-based activity</w:t>
            </w:r>
          </w:p>
        </w:tc>
        <w:tc>
          <w:tcPr>
            <w:tcW w:w="476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E0E3DDD" w14:textId="77777777" w:rsidR="007600F8" w:rsidRDefault="00000000">
            <w:r>
              <w:rPr>
                <w:sz w:val="17"/>
                <w:szCs w:val="17"/>
              </w:rPr>
              <w:t>KEEP_IN_ORACLE</w:t>
            </w:r>
          </w:p>
        </w:tc>
      </w:tr>
      <w:tr w:rsidR="007600F8" w14:paraId="47C159B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C641EF3" w14:textId="77777777" w:rsidR="007600F8" w:rsidRDefault="00000000">
            <w:r>
              <w:rPr>
                <w:sz w:val="17"/>
                <w:szCs w:val="17"/>
              </w:rPr>
              <w:t>Set-based, low Oracle-lock</w:t>
            </w:r>
          </w:p>
        </w:tc>
        <w:tc>
          <w:tcPr>
            <w:tcW w:w="476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8044B16" w14:textId="77777777" w:rsidR="007600F8" w:rsidRDefault="00000000">
            <w:r>
              <w:rPr>
                <w:sz w:val="17"/>
                <w:szCs w:val="17"/>
              </w:rPr>
              <w:t>CONVERT_TO_PYSPARK</w:t>
            </w:r>
          </w:p>
        </w:tc>
      </w:tr>
      <w:tr w:rsidR="007600F8" w14:paraId="032B3DC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F9CA430" w14:textId="77777777" w:rsidR="007600F8" w:rsidRDefault="00000000">
            <w:r>
              <w:rPr>
                <w:sz w:val="17"/>
                <w:szCs w:val="17"/>
              </w:rPr>
              <w:t>Set-based, high Oracle-lock</w:t>
            </w:r>
          </w:p>
        </w:tc>
        <w:tc>
          <w:tcPr>
            <w:tcW w:w="476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753C14C" w14:textId="77777777" w:rsidR="007600F8" w:rsidRDefault="00000000">
            <w:r>
              <w:rPr>
                <w:sz w:val="17"/>
                <w:szCs w:val="17"/>
              </w:rPr>
              <w:t>REWRITE_FOR_PYSPARK</w:t>
            </w:r>
          </w:p>
        </w:tc>
      </w:tr>
      <w:tr w:rsidR="007600F8" w14:paraId="464CF13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CECD0FC" w14:textId="77777777" w:rsidR="007600F8" w:rsidRDefault="00000000">
            <w:r>
              <w:rPr>
                <w:sz w:val="17"/>
                <w:szCs w:val="17"/>
              </w:rPr>
              <w:t>Row-by-row cursor pattern</w:t>
            </w:r>
          </w:p>
        </w:tc>
        <w:tc>
          <w:tcPr>
            <w:tcW w:w="4760" w:type="dxa"/>
            <w:shd w:val="clear" w:color="auto" w:fill="F2F6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41A0C0C" w14:textId="77777777" w:rsidR="007600F8" w:rsidRDefault="00000000">
            <w:r>
              <w:rPr>
                <w:sz w:val="17"/>
                <w:szCs w:val="17"/>
              </w:rPr>
              <w:t>REWRITE_FOR_PYSPARK (vectorize)</w:t>
            </w:r>
          </w:p>
        </w:tc>
      </w:tr>
      <w:tr w:rsidR="007600F8" w14:paraId="26C4009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0CDAD8F" w14:textId="77777777" w:rsidR="007600F8" w:rsidRDefault="00000000">
            <w:r>
              <w:rPr>
                <w:sz w:val="17"/>
                <w:szCs w:val="17"/>
              </w:rPr>
              <w:t>Orchestration pattern (mostly calls)</w:t>
            </w:r>
          </w:p>
        </w:tc>
        <w:tc>
          <w:tcPr>
            <w:tcW w:w="4760" w:type="dx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D8808BD" w14:textId="77777777" w:rsidR="007600F8" w:rsidRDefault="00000000">
            <w:r>
              <w:rPr>
                <w:sz w:val="17"/>
                <w:szCs w:val="17"/>
              </w:rPr>
              <w:t>Becomes the Spark driver / DAG</w:t>
            </w:r>
          </w:p>
        </w:tc>
      </w:tr>
    </w:tbl>
    <w:p w14:paraId="4856A693" w14:textId="77777777" w:rsidR="007600F8" w:rsidRDefault="00000000">
      <w:pPr>
        <w:spacing w:after="110" w:line="268" w:lineRule="auto"/>
      </w:pPr>
      <w:r>
        <w:rPr>
          <w:color w:val="6B7280"/>
          <w:sz w:val="19"/>
          <w:szCs w:val="19"/>
        </w:rPr>
        <w:t>Weights are explicit and tunable to the target codebase — the rubric is designed to be adjusted, not treated as a black box.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00F8" w14:paraId="1788C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EE9"/>
              <w:left w:val="single" w:sz="28" w:space="0" w:color="1F7A72"/>
              <w:bottom w:val="single" w:sz="4" w:space="0" w:color="D7DEE9"/>
              <w:right w:val="single" w:sz="4" w:space="0" w:color="D7DEE9"/>
            </w:tcBorders>
            <w:shd w:val="clear" w:color="auto" w:fill="EEF2F8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3F411E75" w14:textId="77777777" w:rsidR="007600F8" w:rsidRDefault="00000000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t>3.  Key Design Decision</w:t>
            </w:r>
          </w:p>
          <w:p w14:paraId="403A4C2A" w14:textId="77777777" w:rsidR="007600F8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Parse into a real AST. Model it as a uniform, schema-validated graph. Enrich with an </w:t>
            </w:r>
            <w:proofErr w:type="spellStart"/>
            <w:r>
              <w:rPr>
                <w:sz w:val="19"/>
                <w:szCs w:val="19"/>
              </w:rPr>
              <w:t>Oracle→Spark</w:t>
            </w:r>
            <w:proofErr w:type="spellEnd"/>
            <w:r>
              <w:rPr>
                <w:sz w:val="19"/>
                <w:szCs w:val="19"/>
              </w:rPr>
              <w:t xml:space="preserve"> construct knowledge base instead of re-deriving it from source each time. Score and classify every routine against a transparent, tunable rubric. Generate PySpark only where the graph confirms it is safe — and flag everything else with the exact reason it is blocked, fully traceable back to graph nodes and edges.</w:t>
            </w:r>
          </w:p>
        </w:tc>
      </w:tr>
    </w:tbl>
    <w:p w14:paraId="74AF6A63" w14:textId="77777777" w:rsidR="00875FF5" w:rsidRDefault="00875FF5"/>
    <w:sectPr w:rsidR="00875FF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C65"/>
    <w:multiLevelType w:val="hybridMultilevel"/>
    <w:tmpl w:val="6374BA68"/>
    <w:lvl w:ilvl="0" w:tplc="BC245026">
      <w:start w:val="1"/>
      <w:numFmt w:val="bullet"/>
      <w:lvlText w:val="●"/>
      <w:lvlJc w:val="left"/>
      <w:pPr>
        <w:ind w:left="720" w:hanging="360"/>
      </w:pPr>
    </w:lvl>
    <w:lvl w:ilvl="1" w:tplc="30E898FC">
      <w:start w:val="1"/>
      <w:numFmt w:val="bullet"/>
      <w:lvlText w:val="○"/>
      <w:lvlJc w:val="left"/>
      <w:pPr>
        <w:ind w:left="1440" w:hanging="360"/>
      </w:pPr>
    </w:lvl>
    <w:lvl w:ilvl="2" w:tplc="8452A8E6">
      <w:start w:val="1"/>
      <w:numFmt w:val="bullet"/>
      <w:lvlText w:val="■"/>
      <w:lvlJc w:val="left"/>
      <w:pPr>
        <w:ind w:left="2160" w:hanging="360"/>
      </w:pPr>
    </w:lvl>
    <w:lvl w:ilvl="3" w:tplc="07349782">
      <w:start w:val="1"/>
      <w:numFmt w:val="bullet"/>
      <w:lvlText w:val="●"/>
      <w:lvlJc w:val="left"/>
      <w:pPr>
        <w:ind w:left="2880" w:hanging="360"/>
      </w:pPr>
    </w:lvl>
    <w:lvl w:ilvl="4" w:tplc="EF424E86">
      <w:start w:val="1"/>
      <w:numFmt w:val="bullet"/>
      <w:lvlText w:val="○"/>
      <w:lvlJc w:val="left"/>
      <w:pPr>
        <w:ind w:left="3600" w:hanging="360"/>
      </w:pPr>
    </w:lvl>
    <w:lvl w:ilvl="5" w:tplc="DB9EF4E8">
      <w:start w:val="1"/>
      <w:numFmt w:val="bullet"/>
      <w:lvlText w:val="■"/>
      <w:lvlJc w:val="left"/>
      <w:pPr>
        <w:ind w:left="4320" w:hanging="360"/>
      </w:pPr>
    </w:lvl>
    <w:lvl w:ilvl="6" w:tplc="0E46FBEC">
      <w:start w:val="1"/>
      <w:numFmt w:val="bullet"/>
      <w:lvlText w:val="●"/>
      <w:lvlJc w:val="left"/>
      <w:pPr>
        <w:ind w:left="5040" w:hanging="360"/>
      </w:pPr>
    </w:lvl>
    <w:lvl w:ilvl="7" w:tplc="4AFAAC1C">
      <w:start w:val="1"/>
      <w:numFmt w:val="bullet"/>
      <w:lvlText w:val="●"/>
      <w:lvlJc w:val="left"/>
      <w:pPr>
        <w:ind w:left="5760" w:hanging="360"/>
      </w:pPr>
    </w:lvl>
    <w:lvl w:ilvl="8" w:tplc="285A75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6651F"/>
    <w:multiLevelType w:val="hybridMultilevel"/>
    <w:tmpl w:val="5704AFD8"/>
    <w:lvl w:ilvl="0" w:tplc="65028A62">
      <w:start w:val="1"/>
      <w:numFmt w:val="bullet"/>
      <w:lvlText w:val="▸"/>
      <w:lvlJc w:val="left"/>
      <w:pPr>
        <w:ind w:left="340" w:hanging="240"/>
      </w:pPr>
      <w:rPr>
        <w:color w:val="1F7A72"/>
      </w:rPr>
    </w:lvl>
    <w:lvl w:ilvl="1" w:tplc="461E4232">
      <w:numFmt w:val="decimal"/>
      <w:lvlText w:val=""/>
      <w:lvlJc w:val="left"/>
    </w:lvl>
    <w:lvl w:ilvl="2" w:tplc="FF8ADE52">
      <w:numFmt w:val="decimal"/>
      <w:lvlText w:val=""/>
      <w:lvlJc w:val="left"/>
    </w:lvl>
    <w:lvl w:ilvl="3" w:tplc="729091E4">
      <w:numFmt w:val="decimal"/>
      <w:lvlText w:val=""/>
      <w:lvlJc w:val="left"/>
    </w:lvl>
    <w:lvl w:ilvl="4" w:tplc="61B8618A">
      <w:numFmt w:val="decimal"/>
      <w:lvlText w:val=""/>
      <w:lvlJc w:val="left"/>
    </w:lvl>
    <w:lvl w:ilvl="5" w:tplc="648E33D4">
      <w:numFmt w:val="decimal"/>
      <w:lvlText w:val=""/>
      <w:lvlJc w:val="left"/>
    </w:lvl>
    <w:lvl w:ilvl="6" w:tplc="C58073B4">
      <w:numFmt w:val="decimal"/>
      <w:lvlText w:val=""/>
      <w:lvlJc w:val="left"/>
    </w:lvl>
    <w:lvl w:ilvl="7" w:tplc="51E64242">
      <w:numFmt w:val="decimal"/>
      <w:lvlText w:val=""/>
      <w:lvlJc w:val="left"/>
    </w:lvl>
    <w:lvl w:ilvl="8" w:tplc="36BC3AEE">
      <w:numFmt w:val="decimal"/>
      <w:lvlText w:val=""/>
      <w:lvlJc w:val="left"/>
    </w:lvl>
  </w:abstractNum>
  <w:num w:numId="1" w16cid:durableId="173571982">
    <w:abstractNumId w:val="0"/>
    <w:lvlOverride w:ilvl="0">
      <w:startOverride w:val="1"/>
    </w:lvlOverride>
  </w:num>
  <w:num w:numId="2" w16cid:durableId="1253735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0F8"/>
    <w:rsid w:val="007600F8"/>
    <w:rsid w:val="00873998"/>
    <w:rsid w:val="00875FF5"/>
    <w:rsid w:val="00DC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4A9B"/>
  <w15:docId w15:val="{8A0DB77B-B052-431D-8846-59F1ABCC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Bhardwaj</cp:lastModifiedBy>
  <cp:revision>2</cp:revision>
  <dcterms:created xsi:type="dcterms:W3CDTF">2026-07-07T11:38:00Z</dcterms:created>
  <dcterms:modified xsi:type="dcterms:W3CDTF">2026-07-07T11:44:00Z</dcterms:modified>
</cp:coreProperties>
</file>