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4E377D"/>
          <w:sz w:val="30"/>
        </w:rPr>
        <w:t>VERTEX SOFTWARE</w:t>
      </w:r>
    </w:p>
    <w:p>
      <w:pPr>
        <w:spacing w:before="160"/>
        <w:jc w:val="center"/>
      </w:pPr>
      <w:r>
        <w:rPr>
          <w:b/>
          <w:color w:val="4E377D"/>
          <w:sz w:val="60"/>
        </w:rPr>
        <w:t>Support Operations &amp; Customer Analytics</w:t>
      </w:r>
    </w:p>
    <w:p>
      <w:pPr>
        <w:jc w:val="center"/>
      </w:pPr>
      <w:r>
        <w:rPr>
          <w:color w:val="696969"/>
          <w:sz w:val="32"/>
        </w:rPr>
        <w:t>Data Analyst Portfolio Project</w:t>
      </w:r>
    </w:p>
    <w:p/>
    <w:p>
      <w:pPr>
        <w:spacing w:after="140" w:line="269" w:lineRule="auto"/>
      </w:pPr>
      <w:r>
        <w:t>A practical analysis of 100,000 IT support tickets using Python, MySQL and Power BI. The project follows the full analyst workflow: understanding the raw data, cleaning it, exploring patterns, writing business-focused SQL, and presenting the results in an interactive dashboard.</w:t>
      </w:r>
    </w:p>
    <w:p>
      <w:pPr>
        <w:spacing w:before="500"/>
        <w:jc w:val="center"/>
      </w:pPr>
      <w:r>
        <w:rPr>
          <w:b/>
          <w:color w:val="4E377D"/>
          <w:sz w:val="22"/>
        </w:rPr>
        <w:t>Tools: Python • Pandas • NumPy • MySQL • Power BI</w:t>
      </w:r>
    </w:p>
    <w:p>
      <w:pPr>
        <w:spacing w:before="1100"/>
        <w:jc w:val="center"/>
      </w:pPr>
      <w:r>
        <w:rPr>
          <w:color w:val="696969"/>
          <w:sz w:val="18"/>
        </w:rPr>
        <w:t>Portfolio report • September 2026</w:t>
      </w:r>
    </w:p>
    <w:p>
      <w:r>
        <w:br w:type="page"/>
      </w:r>
    </w:p>
    <w:p>
      <w:pPr>
        <w:pStyle w:val="Heading1"/>
      </w:pPr>
      <w:r>
        <w:rPr>
          <w:color w:val="4E377D"/>
        </w:rPr>
        <w:t>Contents</w:t>
      </w:r>
    </w:p>
    <w:p>
      <w:pPr>
        <w:pStyle w:val="ListBullet"/>
        <w:spacing w:after="80"/>
      </w:pPr>
      <w:r>
        <w:t>1. Executive Summary</w:t>
      </w:r>
    </w:p>
    <w:p>
      <w:pPr>
        <w:pStyle w:val="ListBullet"/>
        <w:spacing w:after="80"/>
      </w:pPr>
      <w:r>
        <w:t>2. Business Problem and Objectives</w:t>
      </w:r>
    </w:p>
    <w:p>
      <w:pPr>
        <w:pStyle w:val="ListBullet"/>
        <w:spacing w:after="80"/>
      </w:pPr>
      <w:r>
        <w:t>3. Dataset Overview</w:t>
      </w:r>
    </w:p>
    <w:p>
      <w:pPr>
        <w:pStyle w:val="ListBullet"/>
        <w:spacing w:after="80"/>
      </w:pPr>
      <w:r>
        <w:t>4. Data Understanding and Quality Checks</w:t>
      </w:r>
    </w:p>
    <w:p>
      <w:pPr>
        <w:pStyle w:val="ListBullet"/>
        <w:spacing w:after="80"/>
      </w:pPr>
      <w:r>
        <w:t>5. Data Cleaning in Python</w:t>
      </w:r>
    </w:p>
    <w:p>
      <w:pPr>
        <w:pStyle w:val="ListBullet"/>
        <w:spacing w:after="80"/>
      </w:pPr>
      <w:r>
        <w:t>6. Exploratory Data Analysis</w:t>
      </w:r>
    </w:p>
    <w:p>
      <w:pPr>
        <w:pStyle w:val="ListBullet"/>
        <w:spacing w:after="80"/>
      </w:pPr>
      <w:r>
        <w:t>7. SQL Analysis</w:t>
      </w:r>
    </w:p>
    <w:p>
      <w:pPr>
        <w:pStyle w:val="ListBullet"/>
        <w:spacing w:after="80"/>
      </w:pPr>
      <w:r>
        <w:t>8. Power BI Dashboard</w:t>
      </w:r>
    </w:p>
    <w:p>
      <w:pPr>
        <w:pStyle w:val="ListBullet"/>
        <w:spacing w:after="80"/>
      </w:pPr>
      <w:r>
        <w:t>9. Key Findings</w:t>
      </w:r>
    </w:p>
    <w:p>
      <w:pPr>
        <w:pStyle w:val="ListBullet"/>
        <w:spacing w:after="80"/>
      </w:pPr>
      <w:r>
        <w:t>10. Business Recommendations</w:t>
      </w:r>
    </w:p>
    <w:p>
      <w:pPr>
        <w:pStyle w:val="ListBullet"/>
        <w:spacing w:after="80"/>
      </w:pPr>
      <w:r>
        <w:t>11. Project Workflow and Technical Skills</w:t>
      </w:r>
    </w:p>
    <w:p>
      <w:pPr>
        <w:pStyle w:val="ListBullet"/>
        <w:spacing w:after="80"/>
      </w:pPr>
      <w:r>
        <w:t>12. Limitations and Next Steps</w:t>
      </w:r>
    </w:p>
    <w:p>
      <w:pPr>
        <w:pStyle w:val="ListBullet"/>
        <w:spacing w:after="80"/>
      </w:pPr>
      <w:r>
        <w:t>13. Appendix – Selected SQL Queries</w:t>
      </w:r>
    </w:p>
    <w:p>
      <w:r>
        <w:br w:type="page"/>
      </w:r>
    </w:p>
    <w:p>
      <w:pPr>
        <w:pStyle w:val="Heading1"/>
      </w:pPr>
      <w:r>
        <w:rPr>
          <w:color w:val="4E377D"/>
        </w:rPr>
        <w:t>1. Executive Summary</w:t>
      </w:r>
    </w:p>
    <w:p>
      <w:pPr>
        <w:spacing w:after="140" w:line="269" w:lineRule="auto"/>
      </w:pPr>
      <w:r>
        <w:t>The goal of this project was to turn a large support-ticket dataset into a management-friendly view of service operations and customer experience. I worked through the data in stages rather than jumping directly into the dashboard: first checking the raw structure, then cleaning the data in Python, using MySQL for business questions, and finally building Power BI pages for operations, customers and management.</w:t>
      </w:r>
    </w:p>
    <w:p>
      <w:pPr>
        <w:spacing w:after="140" w:line="269" w:lineRule="auto"/>
      </w:pPr>
      <w:r>
        <w:t>The full dataset contains 100,000 tickets created between January 2022 and December 2025. The Power BI pages shown in this report focus on 2022–2023, which gives a consistent 49,768-ticket reporting slice and matches the dashboard KPI cards.</w:t>
      </w:r>
    </w:p>
    <w:tbl>
      <w:tblPr>
        <w:tblStyle w:val="TableGrid"/>
        <w:tblW w:type="auto" w:w="0"/>
        <w:jc w:val="center"/>
        <w:tblLook w:firstColumn="1" w:firstRow="1" w:lastColumn="0" w:lastRow="0" w:noHBand="0" w:noVBand="1" w:val="04A0"/>
      </w:tblPr>
      <w:tblGrid>
        <w:gridCol w:w="5083"/>
        <w:gridCol w:w="5083"/>
      </w:tblGrid>
      <w:tr>
        <w:tc>
          <w:tcPr>
            <w:tcW w:type="dxa" w:w="6768"/>
            <w:shd w:fill="5B3F8C"/>
            <w:vAlign w:val="center"/>
          </w:tcPr>
          <w:p>
            <w:pPr>
              <w:jc w:val="left"/>
            </w:pPr>
            <w:r/>
            <w:r>
              <w:rPr>
                <w:b/>
                <w:color w:val="FFFFFF"/>
                <w:sz w:val="19"/>
              </w:rPr>
              <w:t>Measure</w:t>
            </w:r>
          </w:p>
        </w:tc>
        <w:tc>
          <w:tcPr>
            <w:tcW w:type="dxa" w:w="2304"/>
            <w:shd w:fill="5B3F8C"/>
            <w:vAlign w:val="center"/>
          </w:tcPr>
          <w:p>
            <w:pPr>
              <w:jc w:val="left"/>
            </w:pPr>
            <w:r/>
            <w:r>
              <w:rPr>
                <w:b/>
                <w:color w:val="FFFFFF"/>
                <w:sz w:val="19"/>
              </w:rPr>
              <w:t>Result</w:t>
            </w:r>
          </w:p>
        </w:tc>
      </w:tr>
      <w:tr>
        <w:tc>
          <w:tcPr>
            <w:tcW w:type="dxa" w:w="6768"/>
            <w:vAlign w:val="center"/>
          </w:tcPr>
          <w:p>
            <w:pPr>
              <w:jc w:val="left"/>
            </w:pPr>
            <w:r/>
            <w:r>
              <w:rPr>
                <w:b w:val="0"/>
                <w:color w:val="2D2D2D"/>
                <w:sz w:val="19"/>
              </w:rPr>
              <w:t>Tickets in dashboard period</w:t>
            </w:r>
          </w:p>
        </w:tc>
        <w:tc>
          <w:tcPr>
            <w:tcW w:type="dxa" w:w="2304"/>
            <w:vAlign w:val="center"/>
          </w:tcPr>
          <w:p>
            <w:pPr>
              <w:jc w:val="left"/>
            </w:pPr>
            <w:r/>
            <w:r>
              <w:rPr>
                <w:b w:val="0"/>
                <w:color w:val="2D2D2D"/>
                <w:sz w:val="19"/>
              </w:rPr>
              <w:t>49,768</w:t>
            </w:r>
          </w:p>
        </w:tc>
      </w:tr>
      <w:tr>
        <w:tc>
          <w:tcPr>
            <w:tcW w:type="dxa" w:w="6768"/>
            <w:shd w:fill="F7F4FB"/>
            <w:vAlign w:val="center"/>
          </w:tcPr>
          <w:p>
            <w:pPr>
              <w:jc w:val="left"/>
            </w:pPr>
            <w:r/>
            <w:r>
              <w:rPr>
                <w:b w:val="0"/>
                <w:color w:val="2D2D2D"/>
                <w:sz w:val="19"/>
              </w:rPr>
              <w:t>Resolved tickets</w:t>
            </w:r>
          </w:p>
        </w:tc>
        <w:tc>
          <w:tcPr>
            <w:tcW w:type="dxa" w:w="2304"/>
            <w:shd w:fill="F7F4FB"/>
            <w:vAlign w:val="center"/>
          </w:tcPr>
          <w:p>
            <w:pPr>
              <w:jc w:val="left"/>
            </w:pPr>
            <w:r/>
            <w:r>
              <w:rPr>
                <w:b w:val="0"/>
                <w:color w:val="2D2D2D"/>
                <w:sz w:val="19"/>
              </w:rPr>
              <w:t>24,958</w:t>
            </w:r>
          </w:p>
        </w:tc>
      </w:tr>
      <w:tr>
        <w:tc>
          <w:tcPr>
            <w:tcW w:type="dxa" w:w="6768"/>
            <w:vAlign w:val="center"/>
          </w:tcPr>
          <w:p>
            <w:pPr>
              <w:jc w:val="left"/>
            </w:pPr>
            <w:r/>
            <w:r>
              <w:rPr>
                <w:b w:val="0"/>
                <w:color w:val="2D2D2D"/>
                <w:sz w:val="19"/>
              </w:rPr>
              <w:t>Resolved share</w:t>
            </w:r>
          </w:p>
        </w:tc>
        <w:tc>
          <w:tcPr>
            <w:tcW w:type="dxa" w:w="2304"/>
            <w:vAlign w:val="center"/>
          </w:tcPr>
          <w:p>
            <w:pPr>
              <w:jc w:val="left"/>
            </w:pPr>
            <w:r/>
            <w:r>
              <w:rPr>
                <w:b w:val="0"/>
                <w:color w:val="2D2D2D"/>
                <w:sz w:val="19"/>
              </w:rPr>
              <w:t>50.15%</w:t>
            </w:r>
          </w:p>
        </w:tc>
      </w:tr>
      <w:tr>
        <w:tc>
          <w:tcPr>
            <w:tcW w:type="dxa" w:w="6768"/>
            <w:shd w:fill="F7F4FB"/>
            <w:vAlign w:val="center"/>
          </w:tcPr>
          <w:p>
            <w:pPr>
              <w:jc w:val="left"/>
            </w:pPr>
            <w:r/>
            <w:r>
              <w:rPr>
                <w:b w:val="0"/>
                <w:color w:val="2D2D2D"/>
                <w:sz w:val="19"/>
              </w:rPr>
              <w:t>Average resolution time</w:t>
            </w:r>
          </w:p>
        </w:tc>
        <w:tc>
          <w:tcPr>
            <w:tcW w:type="dxa" w:w="2304"/>
            <w:shd w:fill="F7F4FB"/>
            <w:vAlign w:val="center"/>
          </w:tcPr>
          <w:p>
            <w:pPr>
              <w:jc w:val="left"/>
            </w:pPr>
            <w:r/>
            <w:r>
              <w:rPr>
                <w:b w:val="0"/>
                <w:color w:val="2D2D2D"/>
                <w:sz w:val="19"/>
              </w:rPr>
              <w:t>44.97 hrs</w:t>
            </w:r>
          </w:p>
        </w:tc>
      </w:tr>
      <w:tr>
        <w:tc>
          <w:tcPr>
            <w:tcW w:type="dxa" w:w="6768"/>
            <w:vAlign w:val="center"/>
          </w:tcPr>
          <w:p>
            <w:pPr>
              <w:jc w:val="left"/>
            </w:pPr>
            <w:r/>
            <w:r>
              <w:rPr>
                <w:b w:val="0"/>
                <w:color w:val="2D2D2D"/>
                <w:sz w:val="19"/>
              </w:rPr>
              <w:t>Median resolution time</w:t>
            </w:r>
          </w:p>
        </w:tc>
        <w:tc>
          <w:tcPr>
            <w:tcW w:type="dxa" w:w="2304"/>
            <w:vAlign w:val="center"/>
          </w:tcPr>
          <w:p>
            <w:pPr>
              <w:jc w:val="left"/>
            </w:pPr>
            <w:r/>
            <w:r>
              <w:rPr>
                <w:b w:val="0"/>
                <w:color w:val="2D2D2D"/>
                <w:sz w:val="19"/>
              </w:rPr>
              <w:t>29.89 hrs</w:t>
            </w:r>
          </w:p>
        </w:tc>
      </w:tr>
      <w:tr>
        <w:tc>
          <w:tcPr>
            <w:tcW w:type="dxa" w:w="6768"/>
            <w:shd w:fill="F7F4FB"/>
            <w:vAlign w:val="center"/>
          </w:tcPr>
          <w:p>
            <w:pPr>
              <w:jc w:val="left"/>
            </w:pPr>
            <w:r/>
            <w:r>
              <w:rPr>
                <w:b w:val="0"/>
                <w:color w:val="2D2D2D"/>
                <w:sz w:val="19"/>
              </w:rPr>
              <w:t>Reopened tickets</w:t>
            </w:r>
          </w:p>
        </w:tc>
        <w:tc>
          <w:tcPr>
            <w:tcW w:type="dxa" w:w="2304"/>
            <w:shd w:fill="F7F4FB"/>
            <w:vAlign w:val="center"/>
          </w:tcPr>
          <w:p>
            <w:pPr>
              <w:jc w:val="left"/>
            </w:pPr>
            <w:r/>
            <w:r>
              <w:rPr>
                <w:b w:val="0"/>
                <w:color w:val="2D2D2D"/>
                <w:sz w:val="19"/>
              </w:rPr>
              <w:t>2,483</w:t>
            </w:r>
          </w:p>
        </w:tc>
      </w:tr>
      <w:tr>
        <w:tc>
          <w:tcPr>
            <w:tcW w:type="dxa" w:w="6768"/>
            <w:vAlign w:val="center"/>
          </w:tcPr>
          <w:p>
            <w:pPr>
              <w:jc w:val="left"/>
            </w:pPr>
            <w:r/>
            <w:r>
              <w:rPr>
                <w:b w:val="0"/>
                <w:color w:val="2D2D2D"/>
                <w:sz w:val="19"/>
              </w:rPr>
              <w:t>Reopened rate</w:t>
            </w:r>
          </w:p>
        </w:tc>
        <w:tc>
          <w:tcPr>
            <w:tcW w:type="dxa" w:w="2304"/>
            <w:vAlign w:val="center"/>
          </w:tcPr>
          <w:p>
            <w:pPr>
              <w:jc w:val="left"/>
            </w:pPr>
            <w:r/>
            <w:r>
              <w:rPr>
                <w:b w:val="0"/>
                <w:color w:val="2D2D2D"/>
                <w:sz w:val="19"/>
              </w:rPr>
              <w:t>4.99%</w:t>
            </w:r>
          </w:p>
        </w:tc>
      </w:tr>
      <w:tr>
        <w:tc>
          <w:tcPr>
            <w:tcW w:type="dxa" w:w="6768"/>
            <w:shd w:fill="F7F4FB"/>
            <w:vAlign w:val="center"/>
          </w:tcPr>
          <w:p>
            <w:pPr>
              <w:jc w:val="left"/>
            </w:pPr>
            <w:r/>
            <w:r>
              <w:rPr>
                <w:b w:val="0"/>
                <w:color w:val="2D2D2D"/>
                <w:sz w:val="19"/>
              </w:rPr>
              <w:t>Average CSAT field value</w:t>
            </w:r>
          </w:p>
        </w:tc>
        <w:tc>
          <w:tcPr>
            <w:tcW w:type="dxa" w:w="2304"/>
            <w:shd w:fill="F7F4FB"/>
            <w:vAlign w:val="center"/>
          </w:tcPr>
          <w:p>
            <w:pPr>
              <w:jc w:val="left"/>
            </w:pPr>
            <w:r/>
            <w:r>
              <w:rPr>
                <w:b w:val="0"/>
                <w:color w:val="2D2D2D"/>
                <w:sz w:val="19"/>
              </w:rPr>
              <w:t>2.24</w:t>
            </w:r>
          </w:p>
        </w:tc>
      </w:tr>
    </w:tbl>
    <w:p/>
    <w:p>
      <w:pPr>
        <w:spacing w:after="140" w:line="269" w:lineRule="auto"/>
      </w:pPr>
      <w:r>
        <w:t>A few patterns stand out. Resolution time is right-skewed: the mean is about 45 hours while the median is about 30 hours, showing that a smaller group of long-running tickets pulls the average upward. Priority also matters: in the 2022–2023 slice, urgent tickets have the shortest average resolution time, while low-priority tickets have the longest.</w:t>
      </w:r>
    </w:p>
    <w:p>
      <w:pPr>
        <w:spacing w:after="140" w:line="269" w:lineRule="auto"/>
      </w:pPr>
      <w:r>
        <w:t>Customer satisfaction needs careful interpretation. The CSAT field contains a value of 0 for about 29.9% of tickets, and the EDA treated those zeros as non-responses when looking at the distribution of actual ratings. That means the dashboard's 2.24 average should be read as the average stored field value, not automatically as the average score among customers who submitted a rating.</w:t>
      </w:r>
    </w:p>
    <w:p>
      <w:pPr>
        <w:pStyle w:val="Heading1"/>
      </w:pPr>
      <w:r>
        <w:rPr>
          <w:color w:val="4E377D"/>
        </w:rPr>
        <w:t>2. Business Problem and Objectives</w:t>
      </w:r>
    </w:p>
    <w:p>
      <w:pPr>
        <w:spacing w:after="140" w:line="269" w:lineRule="auto"/>
      </w:pPr>
      <w:r>
        <w:t>Support teams usually have more ticket data than they have time to review. The business question in this project is simple: where is support demand coming from, how quickly are tickets being handled, and where are customer experience or operational issues worth investigating?</w:t>
      </w:r>
    </w:p>
    <w:p>
      <w:pPr>
        <w:pStyle w:val="Heading2"/>
      </w:pPr>
      <w:r>
        <w:rPr>
          <w:color w:val="4E377D"/>
        </w:rPr>
        <w:t>Questions addressed</w:t>
      </w:r>
    </w:p>
    <w:p>
      <w:pPr>
        <w:pStyle w:val="ListBullet"/>
        <w:spacing w:after="80"/>
      </w:pPr>
      <w:r>
        <w:t>How many tickets are being handled, and what is the status mix?</w:t>
      </w:r>
    </w:p>
    <w:p>
      <w:pPr>
        <w:pStyle w:val="ListBullet"/>
        <w:spacing w:after="80"/>
      </w:pPr>
      <w:r>
        <w:t>Which priority levels generate the most tickets?</w:t>
      </w:r>
    </w:p>
    <w:p>
      <w:pPr>
        <w:pStyle w:val="ListBullet"/>
        <w:spacing w:after="80"/>
      </w:pPr>
      <w:r>
        <w:t>Which support channels are used most often?</w:t>
      </w:r>
    </w:p>
    <w:p>
      <w:pPr>
        <w:pStyle w:val="ListBullet"/>
        <w:spacing w:after="80"/>
      </w:pPr>
      <w:r>
        <w:t>Which issue types and product areas create the most support demand?</w:t>
      </w:r>
    </w:p>
    <w:p>
      <w:pPr>
        <w:pStyle w:val="ListBullet"/>
        <w:spacing w:after="80"/>
      </w:pPr>
      <w:r>
        <w:t>How does resolution time vary by priority, issue type and customer segment?</w:t>
      </w:r>
    </w:p>
    <w:p>
      <w:pPr>
        <w:pStyle w:val="ListBullet"/>
        <w:spacing w:after="80"/>
      </w:pPr>
      <w:r>
        <w:t>How does CSAT vary by channel, customer segment, region, product area and issue type?</w:t>
      </w:r>
    </w:p>
    <w:p>
      <w:pPr>
        <w:pStyle w:val="ListBullet"/>
        <w:spacing w:after="80"/>
      </w:pPr>
      <w:r>
        <w:t>How often are tickets reopened?</w:t>
      </w:r>
    </w:p>
    <w:p>
      <w:pPr>
        <w:pStyle w:val="ListBullet"/>
        <w:spacing w:after="80"/>
      </w:pPr>
      <w:r>
        <w:t>How does ticket volume change over time?</w:t>
      </w:r>
    </w:p>
    <w:p>
      <w:pPr>
        <w:pStyle w:val="Heading1"/>
      </w:pPr>
      <w:r>
        <w:rPr>
          <w:color w:val="4E377D"/>
        </w:rPr>
        <w:t>3. Dataset Overview</w:t>
      </w:r>
    </w:p>
    <w:p>
      <w:pPr>
        <w:spacing w:after="140" w:line="269" w:lineRule="auto"/>
      </w:pPr>
      <w:r>
        <w:t>The raw file used for the project is a synthetic IT support-ticket dataset. It contains 100,000 rows and 20 columns covering ticket identifiers, customers, channels, product areas, issue types, priority, status, SLA plan, timestamps, resolution information, sentiment and CSAT.</w:t>
      </w:r>
    </w:p>
    <w:tbl>
      <w:tblPr>
        <w:tblStyle w:val="TableGrid"/>
        <w:tblW w:type="auto" w:w="0"/>
        <w:jc w:val="center"/>
        <w:tblLook w:firstColumn="1" w:firstRow="1" w:lastColumn="0" w:lastRow="0" w:noHBand="0" w:noVBand="1" w:val="04A0"/>
      </w:tblPr>
      <w:tblGrid>
        <w:gridCol w:w="5083"/>
        <w:gridCol w:w="5083"/>
      </w:tblGrid>
      <w:tr>
        <w:tc>
          <w:tcPr>
            <w:tcW w:type="dxa" w:w="2880"/>
            <w:shd w:fill="5B3F8C"/>
            <w:vAlign w:val="center"/>
          </w:tcPr>
          <w:p>
            <w:pPr>
              <w:jc w:val="left"/>
            </w:pPr>
            <w:r/>
            <w:r>
              <w:rPr>
                <w:b/>
                <w:color w:val="FFFFFF"/>
                <w:sz w:val="19"/>
              </w:rPr>
              <w:t>Area</w:t>
            </w:r>
          </w:p>
        </w:tc>
        <w:tc>
          <w:tcPr>
            <w:tcW w:type="dxa" w:w="6192"/>
            <w:shd w:fill="5B3F8C"/>
            <w:vAlign w:val="center"/>
          </w:tcPr>
          <w:p>
            <w:pPr>
              <w:jc w:val="left"/>
            </w:pPr>
            <w:r/>
            <w:r>
              <w:rPr>
                <w:b/>
                <w:color w:val="FFFFFF"/>
                <w:sz w:val="19"/>
              </w:rPr>
              <w:t>Details</w:t>
            </w:r>
          </w:p>
        </w:tc>
      </w:tr>
      <w:tr>
        <w:tc>
          <w:tcPr>
            <w:tcW w:type="dxa" w:w="2880"/>
            <w:vAlign w:val="center"/>
          </w:tcPr>
          <w:p>
            <w:pPr>
              <w:jc w:val="left"/>
            </w:pPr>
            <w:r/>
            <w:r>
              <w:rPr>
                <w:b w:val="0"/>
                <w:color w:val="2D2D2D"/>
                <w:sz w:val="19"/>
              </w:rPr>
              <w:t>Rows</w:t>
            </w:r>
          </w:p>
        </w:tc>
        <w:tc>
          <w:tcPr>
            <w:tcW w:type="dxa" w:w="6192"/>
            <w:vAlign w:val="center"/>
          </w:tcPr>
          <w:p>
            <w:pPr>
              <w:jc w:val="left"/>
            </w:pPr>
            <w:r/>
            <w:r>
              <w:rPr>
                <w:b w:val="0"/>
                <w:color w:val="2D2D2D"/>
                <w:sz w:val="19"/>
              </w:rPr>
              <w:t>100,000</w:t>
            </w:r>
          </w:p>
        </w:tc>
      </w:tr>
      <w:tr>
        <w:tc>
          <w:tcPr>
            <w:tcW w:type="dxa" w:w="2880"/>
            <w:shd w:fill="F7F4FB"/>
            <w:vAlign w:val="center"/>
          </w:tcPr>
          <w:p>
            <w:pPr>
              <w:jc w:val="left"/>
            </w:pPr>
            <w:r/>
            <w:r>
              <w:rPr>
                <w:b w:val="0"/>
                <w:color w:val="2D2D2D"/>
                <w:sz w:val="19"/>
              </w:rPr>
              <w:t>Columns</w:t>
            </w:r>
          </w:p>
        </w:tc>
        <w:tc>
          <w:tcPr>
            <w:tcW w:type="dxa" w:w="6192"/>
            <w:shd w:fill="F7F4FB"/>
            <w:vAlign w:val="center"/>
          </w:tcPr>
          <w:p>
            <w:pPr>
              <w:jc w:val="left"/>
            </w:pPr>
            <w:r/>
            <w:r>
              <w:rPr>
                <w:b w:val="0"/>
                <w:color w:val="2D2D2D"/>
                <w:sz w:val="19"/>
              </w:rPr>
              <w:t>20</w:t>
            </w:r>
          </w:p>
        </w:tc>
      </w:tr>
      <w:tr>
        <w:tc>
          <w:tcPr>
            <w:tcW w:type="dxa" w:w="2880"/>
            <w:vAlign w:val="center"/>
          </w:tcPr>
          <w:p>
            <w:pPr>
              <w:jc w:val="left"/>
            </w:pPr>
            <w:r/>
            <w:r>
              <w:rPr>
                <w:b w:val="0"/>
                <w:color w:val="2D2D2D"/>
                <w:sz w:val="19"/>
              </w:rPr>
              <w:t>Time period</w:t>
            </w:r>
          </w:p>
        </w:tc>
        <w:tc>
          <w:tcPr>
            <w:tcW w:type="dxa" w:w="6192"/>
            <w:vAlign w:val="center"/>
          </w:tcPr>
          <w:p>
            <w:pPr>
              <w:jc w:val="left"/>
            </w:pPr>
            <w:r/>
            <w:r>
              <w:rPr>
                <w:b w:val="0"/>
                <w:color w:val="2D2D2D"/>
                <w:sz w:val="19"/>
              </w:rPr>
              <w:t>2022-01-01 to 2025-12-30</w:t>
            </w:r>
          </w:p>
        </w:tc>
      </w:tr>
      <w:tr>
        <w:tc>
          <w:tcPr>
            <w:tcW w:type="dxa" w:w="2880"/>
            <w:shd w:fill="F7F4FB"/>
            <w:vAlign w:val="center"/>
          </w:tcPr>
          <w:p>
            <w:pPr>
              <w:jc w:val="left"/>
            </w:pPr>
            <w:r/>
            <w:r>
              <w:rPr>
                <w:b w:val="0"/>
                <w:color w:val="2D2D2D"/>
                <w:sz w:val="19"/>
              </w:rPr>
              <w:t>Customers</w:t>
            </w:r>
          </w:p>
        </w:tc>
        <w:tc>
          <w:tcPr>
            <w:tcW w:type="dxa" w:w="6192"/>
            <w:shd w:fill="F7F4FB"/>
            <w:vAlign w:val="center"/>
          </w:tcPr>
          <w:p>
            <w:pPr>
              <w:jc w:val="left"/>
            </w:pPr>
            <w:r/>
            <w:r>
              <w:rPr>
                <w:b w:val="0"/>
                <w:color w:val="2D2D2D"/>
                <w:sz w:val="19"/>
              </w:rPr>
              <w:t>9,999 unique customer IDs</w:t>
            </w:r>
          </w:p>
        </w:tc>
      </w:tr>
      <w:tr>
        <w:tc>
          <w:tcPr>
            <w:tcW w:type="dxa" w:w="2880"/>
            <w:vAlign w:val="center"/>
          </w:tcPr>
          <w:p>
            <w:pPr>
              <w:jc w:val="left"/>
            </w:pPr>
            <w:r/>
            <w:r>
              <w:rPr>
                <w:b w:val="0"/>
                <w:color w:val="2D2D2D"/>
                <w:sz w:val="19"/>
              </w:rPr>
              <w:t>Customer segments</w:t>
            </w:r>
          </w:p>
        </w:tc>
        <w:tc>
          <w:tcPr>
            <w:tcW w:type="dxa" w:w="6192"/>
            <w:vAlign w:val="center"/>
          </w:tcPr>
          <w:p>
            <w:pPr>
              <w:jc w:val="left"/>
            </w:pPr>
            <w:r/>
            <w:r>
              <w:rPr>
                <w:b w:val="0"/>
                <w:color w:val="2D2D2D"/>
                <w:sz w:val="19"/>
              </w:rPr>
              <w:t>individual, small_business, education, enterprise, non_profit</w:t>
            </w:r>
          </w:p>
        </w:tc>
      </w:tr>
      <w:tr>
        <w:tc>
          <w:tcPr>
            <w:tcW w:type="dxa" w:w="2880"/>
            <w:shd w:fill="F7F4FB"/>
            <w:vAlign w:val="center"/>
          </w:tcPr>
          <w:p>
            <w:pPr>
              <w:jc w:val="left"/>
            </w:pPr>
            <w:r/>
            <w:r>
              <w:rPr>
                <w:b w:val="0"/>
                <w:color w:val="2D2D2D"/>
                <w:sz w:val="19"/>
              </w:rPr>
              <w:t>Channels</w:t>
            </w:r>
          </w:p>
        </w:tc>
        <w:tc>
          <w:tcPr>
            <w:tcW w:type="dxa" w:w="6192"/>
            <w:shd w:fill="F7F4FB"/>
            <w:vAlign w:val="center"/>
          </w:tcPr>
          <w:p>
            <w:pPr>
              <w:jc w:val="left"/>
            </w:pPr>
            <w:r/>
            <w:r>
              <w:rPr>
                <w:b w:val="0"/>
                <w:color w:val="2D2D2D"/>
                <w:sz w:val="19"/>
              </w:rPr>
              <w:t>email, in_app, chat, phone_transcript, web_form</w:t>
            </w:r>
          </w:p>
        </w:tc>
      </w:tr>
      <w:tr>
        <w:tc>
          <w:tcPr>
            <w:tcW w:type="dxa" w:w="2880"/>
            <w:vAlign w:val="center"/>
          </w:tcPr>
          <w:p>
            <w:pPr>
              <w:jc w:val="left"/>
            </w:pPr>
            <w:r/>
            <w:r>
              <w:rPr>
                <w:b w:val="0"/>
                <w:color w:val="2D2D2D"/>
                <w:sz w:val="19"/>
              </w:rPr>
              <w:t>Product areas</w:t>
            </w:r>
          </w:p>
        </w:tc>
        <w:tc>
          <w:tcPr>
            <w:tcW w:type="dxa" w:w="6192"/>
            <w:vAlign w:val="center"/>
          </w:tcPr>
          <w:p>
            <w:pPr>
              <w:jc w:val="left"/>
            </w:pPr>
            <w:r/>
            <w:r>
              <w:rPr>
                <w:b w:val="0"/>
                <w:color w:val="2D2D2D"/>
                <w:sz w:val="19"/>
              </w:rPr>
              <w:t>7 categories</w:t>
            </w:r>
          </w:p>
        </w:tc>
      </w:tr>
      <w:tr>
        <w:tc>
          <w:tcPr>
            <w:tcW w:type="dxa" w:w="2880"/>
            <w:shd w:fill="F7F4FB"/>
            <w:vAlign w:val="center"/>
          </w:tcPr>
          <w:p>
            <w:pPr>
              <w:jc w:val="left"/>
            </w:pPr>
            <w:r/>
            <w:r>
              <w:rPr>
                <w:b w:val="0"/>
                <w:color w:val="2D2D2D"/>
                <w:sz w:val="19"/>
              </w:rPr>
              <w:t>Issue types</w:t>
            </w:r>
          </w:p>
        </w:tc>
        <w:tc>
          <w:tcPr>
            <w:tcW w:type="dxa" w:w="6192"/>
            <w:shd w:fill="F7F4FB"/>
            <w:vAlign w:val="center"/>
          </w:tcPr>
          <w:p>
            <w:pPr>
              <w:jc w:val="left"/>
            </w:pPr>
            <w:r/>
            <w:r>
              <w:rPr>
                <w:b w:val="0"/>
                <w:color w:val="2D2D2D"/>
                <w:sz w:val="19"/>
              </w:rPr>
              <w:t>8 categories</w:t>
            </w:r>
          </w:p>
        </w:tc>
      </w:tr>
      <w:tr>
        <w:tc>
          <w:tcPr>
            <w:tcW w:type="dxa" w:w="2880"/>
            <w:vAlign w:val="center"/>
          </w:tcPr>
          <w:p>
            <w:pPr>
              <w:jc w:val="left"/>
            </w:pPr>
            <w:r/>
            <w:r>
              <w:rPr>
                <w:b w:val="0"/>
                <w:color w:val="2D2D2D"/>
                <w:sz w:val="19"/>
              </w:rPr>
              <w:t>Priority levels</w:t>
            </w:r>
          </w:p>
        </w:tc>
        <w:tc>
          <w:tcPr>
            <w:tcW w:type="dxa" w:w="6192"/>
            <w:vAlign w:val="center"/>
          </w:tcPr>
          <w:p>
            <w:pPr>
              <w:jc w:val="left"/>
            </w:pPr>
            <w:r/>
            <w:r>
              <w:rPr>
                <w:b w:val="0"/>
                <w:color w:val="2D2D2D"/>
                <w:sz w:val="19"/>
              </w:rPr>
              <w:t>low, medium, high, urgent</w:t>
            </w:r>
          </w:p>
        </w:tc>
      </w:tr>
      <w:tr>
        <w:tc>
          <w:tcPr>
            <w:tcW w:type="dxa" w:w="2880"/>
            <w:shd w:fill="F7F4FB"/>
            <w:vAlign w:val="center"/>
          </w:tcPr>
          <w:p>
            <w:pPr>
              <w:jc w:val="left"/>
            </w:pPr>
            <w:r/>
            <w:r>
              <w:rPr>
                <w:b w:val="0"/>
                <w:color w:val="2D2D2D"/>
                <w:sz w:val="19"/>
              </w:rPr>
              <w:t>Statuses</w:t>
            </w:r>
          </w:p>
        </w:tc>
        <w:tc>
          <w:tcPr>
            <w:tcW w:type="dxa" w:w="6192"/>
            <w:shd w:fill="F7F4FB"/>
            <w:vAlign w:val="center"/>
          </w:tcPr>
          <w:p>
            <w:pPr>
              <w:jc w:val="left"/>
            </w:pPr>
            <w:r/>
            <w:r>
              <w:rPr>
                <w:b w:val="0"/>
                <w:color w:val="2D2D2D"/>
                <w:sz w:val="19"/>
              </w:rPr>
              <w:t>resolved, closed_no_action, in_progress, on_hold, open</w:t>
            </w:r>
          </w:p>
        </w:tc>
      </w:tr>
      <w:tr>
        <w:tc>
          <w:tcPr>
            <w:tcW w:type="dxa" w:w="2880"/>
            <w:vAlign w:val="center"/>
          </w:tcPr>
          <w:p>
            <w:pPr>
              <w:jc w:val="left"/>
            </w:pPr>
            <w:r/>
            <w:r>
              <w:rPr>
                <w:b w:val="0"/>
                <w:color w:val="2D2D2D"/>
                <w:sz w:val="19"/>
              </w:rPr>
              <w:t>CSAT</w:t>
            </w:r>
          </w:p>
        </w:tc>
        <w:tc>
          <w:tcPr>
            <w:tcW w:type="dxa" w:w="6192"/>
            <w:vAlign w:val="center"/>
          </w:tcPr>
          <w:p>
            <w:pPr>
              <w:jc w:val="left"/>
            </w:pPr>
            <w:r/>
            <w:r>
              <w:rPr>
                <w:b w:val="0"/>
                <w:color w:val="2D2D2D"/>
                <w:sz w:val="19"/>
              </w:rPr>
              <w:t>0–5 stored values</w:t>
            </w:r>
          </w:p>
        </w:tc>
      </w:tr>
    </w:tbl>
    <w:p/>
    <w:p>
      <w:pPr>
        <w:spacing w:after="140" w:line="269" w:lineRule="auto"/>
      </w:pPr>
      <w:r>
        <w:t>The dataset is intentionally broad enough to support several kinds of analyst questions. It also contains realistic data-quality situations such as missing regions and missing resolution information, which made it useful for practising a complete analytics workflow.</w:t>
      </w:r>
    </w:p>
    <w:p>
      <w:pPr>
        <w:pStyle w:val="Heading1"/>
      </w:pPr>
      <w:r>
        <w:rPr>
          <w:color w:val="4E377D"/>
        </w:rPr>
        <w:t>4. Data Understanding and Quality Checks</w:t>
      </w:r>
    </w:p>
    <w:p>
      <w:pPr>
        <w:spacing w:after="140" w:line="269" w:lineRule="auto"/>
      </w:pPr>
      <w:r>
        <w:t>The first Python notebook was used to inspect the structure before making changes. The checks covered data types, column names, unique values, missing values, duplicate rows and basic numerical statistics.</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5B3F8C"/>
            <w:vAlign w:val="center"/>
          </w:tcPr>
          <w:p>
            <w:pPr>
              <w:jc w:val="left"/>
            </w:pPr>
            <w:r/>
            <w:r>
              <w:rPr>
                <w:b/>
                <w:color w:val="FFFFFF"/>
                <w:sz w:val="19"/>
              </w:rPr>
              <w:t>Quality check</w:t>
            </w:r>
          </w:p>
        </w:tc>
        <w:tc>
          <w:tcPr>
            <w:tcW w:type="dxa" w:w="2304"/>
            <w:shd w:fill="5B3F8C"/>
            <w:vAlign w:val="center"/>
          </w:tcPr>
          <w:p>
            <w:pPr>
              <w:jc w:val="left"/>
            </w:pPr>
            <w:r/>
            <w:r>
              <w:rPr>
                <w:b/>
                <w:color w:val="FFFFFF"/>
                <w:sz w:val="19"/>
              </w:rPr>
              <w:t>Result</w:t>
            </w:r>
          </w:p>
        </w:tc>
        <w:tc>
          <w:tcPr>
            <w:tcW w:type="dxa" w:w="3888"/>
            <w:shd w:fill="5B3F8C"/>
            <w:vAlign w:val="center"/>
          </w:tcPr>
          <w:p>
            <w:pPr>
              <w:jc w:val="left"/>
            </w:pPr>
            <w:r/>
            <w:r>
              <w:rPr>
                <w:b/>
                <w:color w:val="FFFFFF"/>
                <w:sz w:val="19"/>
              </w:rPr>
              <w:t>Action / interpretation</w:t>
            </w:r>
          </w:p>
        </w:tc>
      </w:tr>
      <w:tr>
        <w:tc>
          <w:tcPr>
            <w:tcW w:type="dxa" w:w="2880"/>
            <w:vAlign w:val="center"/>
          </w:tcPr>
          <w:p>
            <w:pPr>
              <w:jc w:val="left"/>
            </w:pPr>
            <w:r/>
            <w:r>
              <w:rPr>
                <w:b w:val="0"/>
                <w:color w:val="2D2D2D"/>
                <w:sz w:val="19"/>
              </w:rPr>
              <w:t>Duplicate rows</w:t>
            </w:r>
          </w:p>
        </w:tc>
        <w:tc>
          <w:tcPr>
            <w:tcW w:type="dxa" w:w="2304"/>
            <w:vAlign w:val="center"/>
          </w:tcPr>
          <w:p>
            <w:pPr>
              <w:jc w:val="left"/>
            </w:pPr>
            <w:r/>
            <w:r>
              <w:rPr>
                <w:b w:val="0"/>
                <w:color w:val="2D2D2D"/>
                <w:sz w:val="19"/>
              </w:rPr>
              <w:t>0</w:t>
            </w:r>
          </w:p>
        </w:tc>
        <w:tc>
          <w:tcPr>
            <w:tcW w:type="dxa" w:w="3888"/>
            <w:vAlign w:val="center"/>
          </w:tcPr>
          <w:p>
            <w:pPr>
              <w:jc w:val="left"/>
            </w:pPr>
            <w:r/>
            <w:r>
              <w:rPr>
                <w:b w:val="0"/>
                <w:color w:val="2D2D2D"/>
                <w:sz w:val="19"/>
              </w:rPr>
              <w:t>No exact duplicate rows were found.</w:t>
            </w:r>
          </w:p>
        </w:tc>
      </w:tr>
      <w:tr>
        <w:tc>
          <w:tcPr>
            <w:tcW w:type="dxa" w:w="2880"/>
            <w:shd w:fill="F7F4FB"/>
            <w:vAlign w:val="center"/>
          </w:tcPr>
          <w:p>
            <w:pPr>
              <w:jc w:val="left"/>
            </w:pPr>
            <w:r/>
            <w:r>
              <w:rPr>
                <w:b w:val="0"/>
                <w:color w:val="2D2D2D"/>
                <w:sz w:val="19"/>
              </w:rPr>
              <w:t>Missing region</w:t>
            </w:r>
          </w:p>
        </w:tc>
        <w:tc>
          <w:tcPr>
            <w:tcW w:type="dxa" w:w="2304"/>
            <w:shd w:fill="F7F4FB"/>
            <w:vAlign w:val="center"/>
          </w:tcPr>
          <w:p>
            <w:pPr>
              <w:jc w:val="left"/>
            </w:pPr>
            <w:r/>
            <w:r>
              <w:rPr>
                <w:b w:val="0"/>
                <w:color w:val="2D2D2D"/>
                <w:sz w:val="19"/>
              </w:rPr>
              <w:t>19,997 (20.00%)</w:t>
            </w:r>
          </w:p>
        </w:tc>
        <w:tc>
          <w:tcPr>
            <w:tcW w:type="dxa" w:w="3888"/>
            <w:shd w:fill="F7F4FB"/>
            <w:vAlign w:val="center"/>
          </w:tcPr>
          <w:p>
            <w:pPr>
              <w:jc w:val="left"/>
            </w:pPr>
            <w:r/>
            <w:r>
              <w:rPr>
                <w:b w:val="0"/>
                <w:color w:val="2D2D2D"/>
                <w:sz w:val="19"/>
              </w:rPr>
              <w:t>Region was handled during cleaning using the mode.</w:t>
            </w:r>
          </w:p>
        </w:tc>
      </w:tr>
      <w:tr>
        <w:tc>
          <w:tcPr>
            <w:tcW w:type="dxa" w:w="2880"/>
            <w:vAlign w:val="center"/>
          </w:tcPr>
          <w:p>
            <w:pPr>
              <w:jc w:val="left"/>
            </w:pPr>
            <w:r/>
            <w:r>
              <w:rPr>
                <w:b w:val="0"/>
                <w:color w:val="2D2D2D"/>
                <w:sz w:val="19"/>
              </w:rPr>
              <w:t>Missing resolution time</w:t>
            </w:r>
          </w:p>
        </w:tc>
        <w:tc>
          <w:tcPr>
            <w:tcW w:type="dxa" w:w="2304"/>
            <w:vAlign w:val="center"/>
          </w:tcPr>
          <w:p>
            <w:pPr>
              <w:jc w:val="left"/>
            </w:pPr>
            <w:r/>
            <w:r>
              <w:rPr>
                <w:b w:val="0"/>
                <w:color w:val="2D2D2D"/>
                <w:sz w:val="19"/>
              </w:rPr>
              <w:t>39,887 (39.89%)</w:t>
            </w:r>
          </w:p>
        </w:tc>
        <w:tc>
          <w:tcPr>
            <w:tcW w:type="dxa" w:w="3888"/>
            <w:vAlign w:val="center"/>
          </w:tcPr>
          <w:p>
            <w:pPr>
              <w:jc w:val="left"/>
            </w:pPr>
            <w:r/>
            <w:r>
              <w:rPr>
                <w:b w:val="0"/>
                <w:color w:val="2D2D2D"/>
                <w:sz w:val="19"/>
              </w:rPr>
              <w:t>Kept as missing because these records are open, on_hold or in_progress.</w:t>
            </w:r>
          </w:p>
        </w:tc>
      </w:tr>
      <w:tr>
        <w:tc>
          <w:tcPr>
            <w:tcW w:type="dxa" w:w="2880"/>
            <w:shd w:fill="F7F4FB"/>
            <w:vAlign w:val="center"/>
          </w:tcPr>
          <w:p>
            <w:pPr>
              <w:jc w:val="left"/>
            </w:pPr>
            <w:r/>
            <w:r>
              <w:rPr>
                <w:b w:val="0"/>
                <w:color w:val="2D2D2D"/>
                <w:sz w:val="19"/>
              </w:rPr>
              <w:t>Missing resolution summary</w:t>
            </w:r>
          </w:p>
        </w:tc>
        <w:tc>
          <w:tcPr>
            <w:tcW w:type="dxa" w:w="2304"/>
            <w:shd w:fill="F7F4FB"/>
            <w:vAlign w:val="center"/>
          </w:tcPr>
          <w:p>
            <w:pPr>
              <w:jc w:val="left"/>
            </w:pPr>
            <w:r/>
            <w:r>
              <w:rPr>
                <w:b w:val="0"/>
                <w:color w:val="2D2D2D"/>
                <w:sz w:val="19"/>
              </w:rPr>
              <w:t>39,887 (39.89%)</w:t>
            </w:r>
          </w:p>
        </w:tc>
        <w:tc>
          <w:tcPr>
            <w:tcW w:type="dxa" w:w="3888"/>
            <w:shd w:fill="F7F4FB"/>
            <w:vAlign w:val="center"/>
          </w:tcPr>
          <w:p>
            <w:pPr>
              <w:jc w:val="left"/>
            </w:pPr>
            <w:r/>
            <w:r>
              <w:rPr>
                <w:b w:val="0"/>
                <w:color w:val="2D2D2D"/>
                <w:sz w:val="19"/>
              </w:rPr>
              <w:t>Kept as missing for the same operational reason.</w:t>
            </w:r>
          </w:p>
        </w:tc>
      </w:tr>
      <w:tr>
        <w:tc>
          <w:tcPr>
            <w:tcW w:type="dxa" w:w="2880"/>
            <w:vAlign w:val="center"/>
          </w:tcPr>
          <w:p>
            <w:pPr>
              <w:jc w:val="left"/>
            </w:pPr>
            <w:r/>
            <w:r>
              <w:rPr>
                <w:b w:val="0"/>
                <w:color w:val="2D2D2D"/>
                <w:sz w:val="19"/>
              </w:rPr>
              <w:t>Missing core IDs / categories</w:t>
            </w:r>
          </w:p>
        </w:tc>
        <w:tc>
          <w:tcPr>
            <w:tcW w:type="dxa" w:w="2304"/>
            <w:vAlign w:val="center"/>
          </w:tcPr>
          <w:p>
            <w:pPr>
              <w:jc w:val="left"/>
            </w:pPr>
            <w:r/>
            <w:r>
              <w:rPr>
                <w:b w:val="0"/>
                <w:color w:val="2D2D2D"/>
                <w:sz w:val="19"/>
              </w:rPr>
              <w:t>0</w:t>
            </w:r>
          </w:p>
        </w:tc>
        <w:tc>
          <w:tcPr>
            <w:tcW w:type="dxa" w:w="3888"/>
            <w:vAlign w:val="center"/>
          </w:tcPr>
          <w:p>
            <w:pPr>
              <w:jc w:val="left"/>
            </w:pPr>
            <w:r/>
            <w:r>
              <w:rPr>
                <w:b w:val="0"/>
                <w:color w:val="2D2D2D"/>
                <w:sz w:val="19"/>
              </w:rPr>
              <w:t>No missing values were found in the main ID/category fields checked.</w:t>
            </w:r>
          </w:p>
        </w:tc>
      </w:tr>
      <w:tr>
        <w:tc>
          <w:tcPr>
            <w:tcW w:type="dxa" w:w="2880"/>
            <w:shd w:fill="F7F4FB"/>
            <w:vAlign w:val="center"/>
          </w:tcPr>
          <w:p>
            <w:pPr>
              <w:jc w:val="left"/>
            </w:pPr>
            <w:r/>
            <w:r>
              <w:rPr>
                <w:b w:val="0"/>
                <w:color w:val="2D2D2D"/>
                <w:sz w:val="19"/>
              </w:rPr>
              <w:t>Resolution-time outliers</w:t>
            </w:r>
          </w:p>
        </w:tc>
        <w:tc>
          <w:tcPr>
            <w:tcW w:type="dxa" w:w="2304"/>
            <w:shd w:fill="F7F4FB"/>
            <w:vAlign w:val="center"/>
          </w:tcPr>
          <w:p>
            <w:pPr>
              <w:jc w:val="left"/>
            </w:pPr>
            <w:r/>
            <w:r>
              <w:rPr>
                <w:b w:val="0"/>
                <w:color w:val="2D2D2D"/>
                <w:sz w:val="19"/>
              </w:rPr>
              <w:t>6,108 (6.11%)</w:t>
            </w:r>
          </w:p>
        </w:tc>
        <w:tc>
          <w:tcPr>
            <w:tcW w:type="dxa" w:w="3888"/>
            <w:shd w:fill="F7F4FB"/>
            <w:vAlign w:val="center"/>
          </w:tcPr>
          <w:p>
            <w:pPr>
              <w:jc w:val="left"/>
            </w:pPr>
            <w:r/>
            <w:r>
              <w:rPr>
                <w:b w:val="0"/>
                <w:color w:val="2D2D2D"/>
                <w:sz w:val="19"/>
              </w:rPr>
              <w:t>Flagged for review; not removed.</w:t>
            </w:r>
          </w:p>
        </w:tc>
      </w:tr>
    </w:tbl>
    <w:p/>
    <w:p>
      <w:pPr>
        <w:spacing w:after="140" w:line="269" w:lineRule="auto"/>
      </w:pPr>
      <w:r>
        <w:t>One useful data-quality finding was that the missing resolution-time values were not random. The 39,887 missing values line up with tickets in the open, on_hold and in_progress statuses. In an operational dataset, that makes sense: an unresolved ticket may not have a final resolution duration yet.</w:t>
      </w:r>
    </w:p>
    <w:p>
      <w:pPr>
        <w:spacing w:after="140" w:line="269" w:lineRule="auto"/>
      </w:pPr>
      <w:r>
        <w:t>The resolution-time distribution also contains a long tail. The Python cleaning notebook calculated an IQR upper bound of 106.83 hours and identified 6,108 potential outliers. These were retained rather than deleted because long-running tickets can be operationally meaningful.</w:t>
      </w:r>
    </w:p>
    <w:p>
      <w:pPr>
        <w:pStyle w:val="Heading1"/>
      </w:pPr>
      <w:r>
        <w:rPr>
          <w:color w:val="4E377D"/>
        </w:rPr>
        <w:t>5. Data Cleaning in Python</w:t>
      </w:r>
    </w:p>
    <w:p>
      <w:pPr>
        <w:spacing w:after="140" w:line="269" w:lineRule="auto"/>
      </w:pPr>
      <w:r>
        <w:t>The cleaning stage focused on fixing data quality issues without changing the business meaning of the records.</w:t>
      </w:r>
    </w:p>
    <w:p>
      <w:pPr>
        <w:pStyle w:val="ListBullet"/>
        <w:spacing w:after="80"/>
      </w:pPr>
      <w:r>
        <w:t>Loaded the raw CSV with Pandas.</w:t>
      </w:r>
    </w:p>
    <w:p>
      <w:pPr>
        <w:pStyle w:val="ListBullet"/>
        <w:spacing w:after="80"/>
      </w:pPr>
      <w:r>
        <w:t>Checked categorical values against expected lists.</w:t>
      </w:r>
    </w:p>
    <w:p>
      <w:pPr>
        <w:pStyle w:val="ListBullet"/>
        <w:spacing w:after="80"/>
      </w:pPr>
      <w:r>
        <w:t>Checked for duplicate rows.</w:t>
      </w:r>
    </w:p>
    <w:p>
      <w:pPr>
        <w:pStyle w:val="ListBullet"/>
        <w:spacing w:after="80"/>
      </w:pPr>
      <w:r>
        <w:t>Filled missing region values using the mode.</w:t>
      </w:r>
    </w:p>
    <w:p>
      <w:pPr>
        <w:pStyle w:val="ListBullet"/>
        <w:spacing w:after="80"/>
      </w:pPr>
      <w:r>
        <w:t>Converted created_at from text to a datetime field.</w:t>
      </w:r>
    </w:p>
    <w:p>
      <w:pPr>
        <w:pStyle w:val="ListBullet"/>
        <w:spacing w:after="80"/>
      </w:pPr>
      <w:r>
        <w:t>Checked CSAT and reopened values for their expected ranges.</w:t>
      </w:r>
    </w:p>
    <w:p>
      <w:pPr>
        <w:pStyle w:val="ListBullet"/>
        <w:spacing w:after="80"/>
      </w:pPr>
      <w:r>
        <w:t>Reviewed resolution-time outliers using the IQR method.</w:t>
      </w:r>
    </w:p>
    <w:p>
      <w:pPr>
        <w:pStyle w:val="ListBullet"/>
        <w:spacing w:after="80"/>
      </w:pPr>
      <w:r>
        <w:t>Exported the cleaned dataset for SQL analysis and later dashboard use.</w:t>
      </w:r>
    </w:p>
    <w:p>
      <w:pPr>
        <w:pStyle w:val="Heading2"/>
      </w:pPr>
      <w:r>
        <w:rPr>
          <w:color w:val="4E377D"/>
        </w:rPr>
        <w:t>Example cleaning code</w:t>
      </w:r>
    </w:p>
    <w:p>
      <w:pPr>
        <w:spacing w:before="60" w:after="160"/>
        <w:ind w:left="360" w:right="360"/>
        <w:shd w:fill="F3F3F3"/>
      </w:pPr>
      <w:r>
        <w:rPr>
          <w:rFonts w:ascii="Consolas" w:hAnsi="Consolas"/>
          <w:color w:val="373737"/>
          <w:sz w:val="17"/>
        </w:rPr>
        <w:t>df["region"] = df["region"].fillna(df["region"].mode()[0])</w:t>
        <w:br/>
        <w:t>df["created_at"] = pd.to_datetime(df["created_at"])</w:t>
        <w:br/>
        <w:br/>
        <w:t>Q1 = df["resolution_time_hours"].quantile(0.25)</w:t>
        <w:br/>
        <w:t>Q3 = df["resolution_time_hours"].quantile(0.75)</w:t>
        <w:br/>
        <w:t>IQR = Q3 - Q1</w:t>
        <w:br/>
        <w:t>upper_bound = Q3 + 1.5 * IQR</w:t>
      </w:r>
    </w:p>
    <w:p>
      <w:pPr>
        <w:spacing w:after="140" w:line="269" w:lineRule="auto"/>
      </w:pPr>
      <w:r>
        <w:t>The final cleaned dataset was also uploaded into MySQL, creating a bridge between the Python preparation stage and the SQL analysis stage.</w:t>
      </w:r>
    </w:p>
    <w:p>
      <w:pPr>
        <w:pStyle w:val="Heading1"/>
      </w:pPr>
      <w:r>
        <w:rPr>
          <w:color w:val="4E377D"/>
        </w:rPr>
        <w:t>6. Exploratory Data Analysis</w:t>
      </w:r>
    </w:p>
    <w:p>
      <w:pPr>
        <w:spacing w:after="140" w:line="269" w:lineRule="auto"/>
      </w:pPr>
      <w:r>
        <w:t>The EDA stage looked at ticket volume, resolution time, CSAT, reopening behaviour and relationships between operational fields.</w:t>
      </w:r>
    </w:p>
    <w:p>
      <w:pPr>
        <w:pStyle w:val="Heading2"/>
      </w:pPr>
      <w:r>
        <w:rPr>
          <w:color w:val="4E377D"/>
        </w:rPr>
        <w:t>Resolution time</w:t>
      </w:r>
    </w:p>
    <w:p>
      <w:pPr>
        <w:spacing w:after="140" w:line="269" w:lineRule="auto"/>
      </w:pPr>
      <w:r>
        <w:t>For the 2022–2023 dashboard period, the average resolution time is 44.97 hours and the median is 29.89 hours. The difference between the two confirms the right-skewed pattern seen in the Python histogram.</w:t>
      </w:r>
    </w:p>
    <w:p>
      <w:pPr>
        <w:pStyle w:val="Heading2"/>
      </w:pPr>
      <w:r>
        <w:rPr>
          <w:color w:val="4E377D"/>
        </w:rPr>
        <w:t>Priority and resolution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5B3F8C"/>
            <w:vAlign w:val="center"/>
          </w:tcPr>
          <w:p>
            <w:pPr>
              <w:jc w:val="left"/>
            </w:pPr>
            <w:r/>
            <w:r>
              <w:rPr>
                <w:b/>
                <w:color w:val="FFFFFF"/>
                <w:sz w:val="19"/>
              </w:rPr>
              <w:t>Priority</w:t>
            </w:r>
          </w:p>
        </w:tc>
        <w:tc>
          <w:tcPr>
            <w:tcW w:type="dxa" w:w="3024"/>
            <w:shd w:fill="5B3F8C"/>
            <w:vAlign w:val="center"/>
          </w:tcPr>
          <w:p>
            <w:pPr>
              <w:jc w:val="left"/>
            </w:pPr>
            <w:r/>
            <w:r>
              <w:rPr>
                <w:b/>
                <w:color w:val="FFFFFF"/>
                <w:sz w:val="19"/>
              </w:rPr>
              <w:t>Tickets with resolution time</w:t>
            </w:r>
          </w:p>
        </w:tc>
        <w:tc>
          <w:tcPr>
            <w:tcW w:type="dxa" w:w="1872"/>
            <w:shd w:fill="5B3F8C"/>
            <w:vAlign w:val="center"/>
          </w:tcPr>
          <w:p>
            <w:pPr>
              <w:jc w:val="left"/>
            </w:pPr>
            <w:r/>
            <w:r>
              <w:rPr>
                <w:b/>
                <w:color w:val="FFFFFF"/>
                <w:sz w:val="19"/>
              </w:rPr>
              <w:t>Average hrs</w:t>
            </w:r>
          </w:p>
        </w:tc>
        <w:tc>
          <w:tcPr>
            <w:tcW w:type="dxa" w:w="1872"/>
            <w:shd w:fill="5B3F8C"/>
            <w:vAlign w:val="center"/>
          </w:tcPr>
          <w:p>
            <w:pPr>
              <w:jc w:val="left"/>
            </w:pPr>
            <w:r/>
            <w:r>
              <w:rPr>
                <w:b/>
                <w:color w:val="FFFFFF"/>
                <w:sz w:val="19"/>
              </w:rPr>
              <w:t>Median hrs</w:t>
            </w:r>
          </w:p>
        </w:tc>
      </w:tr>
      <w:tr>
        <w:tc>
          <w:tcPr>
            <w:tcW w:type="dxa" w:w="1728"/>
            <w:vAlign w:val="center"/>
          </w:tcPr>
          <w:p>
            <w:pPr>
              <w:jc w:val="left"/>
            </w:pPr>
            <w:r/>
            <w:r>
              <w:rPr>
                <w:b w:val="0"/>
                <w:color w:val="2D2D2D"/>
                <w:sz w:val="19"/>
              </w:rPr>
              <w:t>low</w:t>
            </w:r>
          </w:p>
        </w:tc>
        <w:tc>
          <w:tcPr>
            <w:tcW w:type="dxa" w:w="3024"/>
            <w:vAlign w:val="center"/>
          </w:tcPr>
          <w:p>
            <w:pPr>
              <w:jc w:val="left"/>
            </w:pPr>
            <w:r/>
            <w:r>
              <w:rPr>
                <w:b w:val="0"/>
                <w:color w:val="2D2D2D"/>
                <w:sz w:val="19"/>
              </w:rPr>
              <w:t>11,930.0</w:t>
            </w:r>
          </w:p>
        </w:tc>
        <w:tc>
          <w:tcPr>
            <w:tcW w:type="dxa" w:w="1872"/>
            <w:vAlign w:val="center"/>
          </w:tcPr>
          <w:p>
            <w:pPr>
              <w:jc w:val="left"/>
            </w:pPr>
            <w:r/>
            <w:r>
              <w:rPr>
                <w:b w:val="0"/>
                <w:color w:val="2D2D2D"/>
                <w:sz w:val="19"/>
              </w:rPr>
              <w:t>55.37</w:t>
            </w:r>
          </w:p>
        </w:tc>
        <w:tc>
          <w:tcPr>
            <w:tcW w:type="dxa" w:w="1872"/>
            <w:vAlign w:val="center"/>
          </w:tcPr>
          <w:p>
            <w:pPr>
              <w:jc w:val="left"/>
            </w:pPr>
            <w:r/>
            <w:r>
              <w:rPr>
                <w:b w:val="0"/>
                <w:color w:val="2D2D2D"/>
                <w:sz w:val="19"/>
              </w:rPr>
              <w:t>45.30</w:t>
            </w:r>
          </w:p>
        </w:tc>
      </w:tr>
      <w:tr>
        <w:tc>
          <w:tcPr>
            <w:tcW w:type="dxa" w:w="1728"/>
            <w:shd w:fill="F7F4FB"/>
            <w:vAlign w:val="center"/>
          </w:tcPr>
          <w:p>
            <w:pPr>
              <w:jc w:val="left"/>
            </w:pPr>
            <w:r/>
            <w:r>
              <w:rPr>
                <w:b w:val="0"/>
                <w:color w:val="2D2D2D"/>
                <w:sz w:val="19"/>
              </w:rPr>
              <w:t>medium</w:t>
            </w:r>
          </w:p>
        </w:tc>
        <w:tc>
          <w:tcPr>
            <w:tcW w:type="dxa" w:w="3024"/>
            <w:shd w:fill="F7F4FB"/>
            <w:vAlign w:val="center"/>
          </w:tcPr>
          <w:p>
            <w:pPr>
              <w:jc w:val="left"/>
            </w:pPr>
            <w:r/>
            <w:r>
              <w:rPr>
                <w:b w:val="0"/>
                <w:color w:val="2D2D2D"/>
                <w:sz w:val="19"/>
              </w:rPr>
              <w:t>10,530.0</w:t>
            </w:r>
          </w:p>
        </w:tc>
        <w:tc>
          <w:tcPr>
            <w:tcW w:type="dxa" w:w="1872"/>
            <w:shd w:fill="F7F4FB"/>
            <w:vAlign w:val="center"/>
          </w:tcPr>
          <w:p>
            <w:pPr>
              <w:jc w:val="left"/>
            </w:pPr>
            <w:r/>
            <w:r>
              <w:rPr>
                <w:b w:val="0"/>
                <w:color w:val="2D2D2D"/>
                <w:sz w:val="19"/>
              </w:rPr>
              <w:t>43.04</w:t>
            </w:r>
          </w:p>
        </w:tc>
        <w:tc>
          <w:tcPr>
            <w:tcW w:type="dxa" w:w="1872"/>
            <w:shd w:fill="F7F4FB"/>
            <w:vAlign w:val="center"/>
          </w:tcPr>
          <w:p>
            <w:pPr>
              <w:jc w:val="left"/>
            </w:pPr>
            <w:r/>
            <w:r>
              <w:rPr>
                <w:b w:val="0"/>
                <w:color w:val="2D2D2D"/>
                <w:sz w:val="19"/>
              </w:rPr>
              <w:t>29.82</w:t>
            </w:r>
          </w:p>
        </w:tc>
      </w:tr>
      <w:tr>
        <w:tc>
          <w:tcPr>
            <w:tcW w:type="dxa" w:w="1728"/>
            <w:vAlign w:val="center"/>
          </w:tcPr>
          <w:p>
            <w:pPr>
              <w:jc w:val="left"/>
            </w:pPr>
            <w:r/>
            <w:r>
              <w:rPr>
                <w:b w:val="0"/>
                <w:color w:val="2D2D2D"/>
                <w:sz w:val="19"/>
              </w:rPr>
              <w:t>high</w:t>
            </w:r>
          </w:p>
        </w:tc>
        <w:tc>
          <w:tcPr>
            <w:tcW w:type="dxa" w:w="3024"/>
            <w:vAlign w:val="center"/>
          </w:tcPr>
          <w:p>
            <w:pPr>
              <w:jc w:val="left"/>
            </w:pPr>
            <w:r/>
            <w:r>
              <w:rPr>
                <w:b w:val="0"/>
                <w:color w:val="2D2D2D"/>
                <w:sz w:val="19"/>
              </w:rPr>
              <w:t>5,937.0</w:t>
            </w:r>
          </w:p>
        </w:tc>
        <w:tc>
          <w:tcPr>
            <w:tcW w:type="dxa" w:w="1872"/>
            <w:vAlign w:val="center"/>
          </w:tcPr>
          <w:p>
            <w:pPr>
              <w:jc w:val="left"/>
            </w:pPr>
            <w:r/>
            <w:r>
              <w:rPr>
                <w:b w:val="0"/>
                <w:color w:val="2D2D2D"/>
                <w:sz w:val="19"/>
              </w:rPr>
              <w:t>31.94</w:t>
            </w:r>
          </w:p>
        </w:tc>
        <w:tc>
          <w:tcPr>
            <w:tcW w:type="dxa" w:w="1872"/>
            <w:vAlign w:val="center"/>
          </w:tcPr>
          <w:p>
            <w:pPr>
              <w:jc w:val="left"/>
            </w:pPr>
            <w:r/>
            <w:r>
              <w:rPr>
                <w:b w:val="0"/>
                <w:color w:val="2D2D2D"/>
                <w:sz w:val="19"/>
              </w:rPr>
              <w:t>14.70</w:t>
            </w:r>
          </w:p>
        </w:tc>
      </w:tr>
      <w:tr>
        <w:tc>
          <w:tcPr>
            <w:tcW w:type="dxa" w:w="1728"/>
            <w:shd w:fill="F7F4FB"/>
            <w:vAlign w:val="center"/>
          </w:tcPr>
          <w:p>
            <w:pPr>
              <w:jc w:val="left"/>
            </w:pPr>
            <w:r/>
            <w:r>
              <w:rPr>
                <w:b w:val="0"/>
                <w:color w:val="2D2D2D"/>
                <w:sz w:val="19"/>
              </w:rPr>
              <w:t>urgent</w:t>
            </w:r>
          </w:p>
        </w:tc>
        <w:tc>
          <w:tcPr>
            <w:tcW w:type="dxa" w:w="3024"/>
            <w:shd w:fill="F7F4FB"/>
            <w:vAlign w:val="center"/>
          </w:tcPr>
          <w:p>
            <w:pPr>
              <w:jc w:val="left"/>
            </w:pPr>
            <w:r/>
            <w:r>
              <w:rPr>
                <w:b w:val="0"/>
                <w:color w:val="2D2D2D"/>
                <w:sz w:val="19"/>
              </w:rPr>
              <w:t>1,524.0</w:t>
            </w:r>
          </w:p>
        </w:tc>
        <w:tc>
          <w:tcPr>
            <w:tcW w:type="dxa" w:w="1872"/>
            <w:shd w:fill="F7F4FB"/>
            <w:vAlign w:val="center"/>
          </w:tcPr>
          <w:p>
            <w:pPr>
              <w:jc w:val="left"/>
            </w:pPr>
            <w:r/>
            <w:r>
              <w:rPr>
                <w:b w:val="0"/>
                <w:color w:val="2D2D2D"/>
                <w:sz w:val="19"/>
              </w:rPr>
              <w:t>27.61</w:t>
            </w:r>
          </w:p>
        </w:tc>
        <w:tc>
          <w:tcPr>
            <w:tcW w:type="dxa" w:w="1872"/>
            <w:shd w:fill="F7F4FB"/>
            <w:vAlign w:val="center"/>
          </w:tcPr>
          <w:p>
            <w:pPr>
              <w:jc w:val="left"/>
            </w:pPr>
            <w:r/>
            <w:r>
              <w:rPr>
                <w:b w:val="0"/>
                <w:color w:val="2D2D2D"/>
                <w:sz w:val="19"/>
              </w:rPr>
              <w:t>4.99</w:t>
            </w:r>
          </w:p>
        </w:tc>
      </w:tr>
    </w:tbl>
    <w:p/>
    <w:p>
      <w:pPr>
        <w:pStyle w:val="Heading2"/>
      </w:pPr>
      <w:r>
        <w:rPr>
          <w:color w:val="4E377D"/>
        </w:rPr>
        <w:t>Customer satisfaction</w:t>
      </w:r>
    </w:p>
    <w:p>
      <w:pPr>
        <w:spacing w:after="140" w:line="269" w:lineRule="auto"/>
      </w:pPr>
      <w:r>
        <w:t>The raw CSAT field has six stored values: 0 through 5. In the 2022–2023 period, 29.92% of tickets have a CSAT value of 0. The EDA therefore created a separate view using CSAT &gt; 0 to examine actual submitted ratings. Among those rated tickets, the average stored score is about 3.20.</w:t>
      </w:r>
    </w:p>
    <w:p>
      <w:pPr>
        <w:pStyle w:val="Heading2"/>
      </w:pPr>
      <w:r>
        <w:rPr>
          <w:color w:val="4E377D"/>
        </w:rPr>
        <w:t>Reopened tickets</w:t>
      </w:r>
    </w:p>
    <w:p>
      <w:pPr>
        <w:spacing w:after="140" w:line="269" w:lineRule="auto"/>
      </w:pPr>
      <w:r>
        <w:t>The dashboard period contains 2,483 reopened tickets, a rate of 4.99%. The rate is close across priority groups, so reopening does not appear to be isolated to one priority level in this dataset.</w:t>
      </w:r>
    </w:p>
    <w:p>
      <w:pPr>
        <w:pStyle w:val="Heading2"/>
      </w:pPr>
      <w:r>
        <w:rPr>
          <w:color w:val="4E377D"/>
        </w:rPr>
        <w:t>Issue mix</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880"/>
            <w:shd w:fill="5B3F8C"/>
            <w:vAlign w:val="center"/>
          </w:tcPr>
          <w:p>
            <w:pPr>
              <w:jc w:val="left"/>
            </w:pPr>
            <w:r/>
            <w:r>
              <w:rPr>
                <w:b/>
                <w:color w:val="FFFFFF"/>
                <w:sz w:val="19"/>
              </w:rPr>
              <w:t>Issue type</w:t>
            </w:r>
          </w:p>
        </w:tc>
        <w:tc>
          <w:tcPr>
            <w:tcW w:type="dxa" w:w="1440"/>
            <w:shd w:fill="5B3F8C"/>
            <w:vAlign w:val="center"/>
          </w:tcPr>
          <w:p>
            <w:pPr>
              <w:jc w:val="left"/>
            </w:pPr>
            <w:r/>
            <w:r>
              <w:rPr>
                <w:b/>
                <w:color w:val="FFFFFF"/>
                <w:sz w:val="19"/>
              </w:rPr>
              <w:t>Tickets</w:t>
            </w:r>
          </w:p>
        </w:tc>
        <w:tc>
          <w:tcPr>
            <w:tcW w:type="dxa" w:w="1440"/>
            <w:shd w:fill="5B3F8C"/>
            <w:vAlign w:val="center"/>
          </w:tcPr>
          <w:p>
            <w:pPr>
              <w:jc w:val="left"/>
            </w:pPr>
            <w:r/>
            <w:r>
              <w:rPr>
                <w:b/>
                <w:color w:val="FFFFFF"/>
                <w:sz w:val="19"/>
              </w:rPr>
              <w:t>Share %</w:t>
            </w:r>
          </w:p>
        </w:tc>
        <w:tc>
          <w:tcPr>
            <w:tcW w:type="dxa" w:w="2160"/>
            <w:shd w:fill="5B3F8C"/>
            <w:vAlign w:val="center"/>
          </w:tcPr>
          <w:p>
            <w:pPr>
              <w:jc w:val="left"/>
            </w:pPr>
            <w:r/>
            <w:r>
              <w:rPr>
                <w:b/>
                <w:color w:val="FFFFFF"/>
                <w:sz w:val="19"/>
              </w:rPr>
              <w:t>Avg resolution hrs</w:t>
            </w:r>
          </w:p>
        </w:tc>
        <w:tc>
          <w:tcPr>
            <w:tcW w:type="dxa" w:w="1440"/>
            <w:shd w:fill="5B3F8C"/>
            <w:vAlign w:val="center"/>
          </w:tcPr>
          <w:p>
            <w:pPr>
              <w:jc w:val="left"/>
            </w:pPr>
            <w:r/>
            <w:r>
              <w:rPr>
                <w:b/>
                <w:color w:val="FFFFFF"/>
                <w:sz w:val="19"/>
              </w:rPr>
              <w:t>Avg CSAT</w:t>
            </w:r>
          </w:p>
        </w:tc>
      </w:tr>
      <w:tr>
        <w:tc>
          <w:tcPr>
            <w:tcW w:type="dxa" w:w="2880"/>
            <w:vAlign w:val="center"/>
          </w:tcPr>
          <w:p>
            <w:pPr>
              <w:jc w:val="left"/>
            </w:pPr>
            <w:r/>
            <w:r>
              <w:rPr>
                <w:b w:val="0"/>
                <w:color w:val="2D2D2D"/>
                <w:sz w:val="19"/>
              </w:rPr>
              <w:t>feature_request</w:t>
            </w:r>
          </w:p>
        </w:tc>
        <w:tc>
          <w:tcPr>
            <w:tcW w:type="dxa" w:w="1440"/>
            <w:vAlign w:val="center"/>
          </w:tcPr>
          <w:p>
            <w:pPr>
              <w:jc w:val="left"/>
            </w:pPr>
            <w:r/>
            <w:r>
              <w:rPr>
                <w:b w:val="0"/>
                <w:color w:val="2D2D2D"/>
                <w:sz w:val="19"/>
              </w:rPr>
              <w:t>6,316</w:t>
            </w:r>
          </w:p>
        </w:tc>
        <w:tc>
          <w:tcPr>
            <w:tcW w:type="dxa" w:w="1440"/>
            <w:vAlign w:val="center"/>
          </w:tcPr>
          <w:p>
            <w:pPr>
              <w:jc w:val="left"/>
            </w:pPr>
            <w:r/>
            <w:r>
              <w:rPr>
                <w:b w:val="0"/>
                <w:color w:val="2D2D2D"/>
                <w:sz w:val="19"/>
              </w:rPr>
              <w:t>12.69%</w:t>
            </w:r>
          </w:p>
        </w:tc>
        <w:tc>
          <w:tcPr>
            <w:tcW w:type="dxa" w:w="2160"/>
            <w:vAlign w:val="center"/>
          </w:tcPr>
          <w:p>
            <w:pPr>
              <w:jc w:val="left"/>
            </w:pPr>
            <w:r/>
            <w:r>
              <w:rPr>
                <w:b w:val="0"/>
                <w:color w:val="2D2D2D"/>
                <w:sz w:val="19"/>
              </w:rPr>
              <w:t>46.01</w:t>
            </w:r>
          </w:p>
        </w:tc>
        <w:tc>
          <w:tcPr>
            <w:tcW w:type="dxa" w:w="1440"/>
            <w:vAlign w:val="center"/>
          </w:tcPr>
          <w:p>
            <w:pPr>
              <w:jc w:val="left"/>
            </w:pPr>
            <w:r/>
            <w:r>
              <w:rPr>
                <w:b w:val="0"/>
                <w:color w:val="2D2D2D"/>
                <w:sz w:val="19"/>
              </w:rPr>
              <w:t>2.62</w:t>
            </w:r>
          </w:p>
        </w:tc>
      </w:tr>
      <w:tr>
        <w:tc>
          <w:tcPr>
            <w:tcW w:type="dxa" w:w="2880"/>
            <w:shd w:fill="F7F4FB"/>
            <w:vAlign w:val="center"/>
          </w:tcPr>
          <w:p>
            <w:pPr>
              <w:jc w:val="left"/>
            </w:pPr>
            <w:r/>
            <w:r>
              <w:rPr>
                <w:b w:val="0"/>
                <w:color w:val="2D2D2D"/>
                <w:sz w:val="19"/>
              </w:rPr>
              <w:t>account_access</w:t>
            </w:r>
          </w:p>
        </w:tc>
        <w:tc>
          <w:tcPr>
            <w:tcW w:type="dxa" w:w="1440"/>
            <w:shd w:fill="F7F4FB"/>
            <w:vAlign w:val="center"/>
          </w:tcPr>
          <w:p>
            <w:pPr>
              <w:jc w:val="left"/>
            </w:pPr>
            <w:r/>
            <w:r>
              <w:rPr>
                <w:b w:val="0"/>
                <w:color w:val="2D2D2D"/>
                <w:sz w:val="19"/>
              </w:rPr>
              <w:t>6,292</w:t>
            </w:r>
          </w:p>
        </w:tc>
        <w:tc>
          <w:tcPr>
            <w:tcW w:type="dxa" w:w="1440"/>
            <w:shd w:fill="F7F4FB"/>
            <w:vAlign w:val="center"/>
          </w:tcPr>
          <w:p>
            <w:pPr>
              <w:jc w:val="left"/>
            </w:pPr>
            <w:r/>
            <w:r>
              <w:rPr>
                <w:b w:val="0"/>
                <w:color w:val="2D2D2D"/>
                <w:sz w:val="19"/>
              </w:rPr>
              <w:t>12.64%</w:t>
            </w:r>
          </w:p>
        </w:tc>
        <w:tc>
          <w:tcPr>
            <w:tcW w:type="dxa" w:w="2160"/>
            <w:shd w:fill="F7F4FB"/>
            <w:vAlign w:val="center"/>
          </w:tcPr>
          <w:p>
            <w:pPr>
              <w:jc w:val="left"/>
            </w:pPr>
            <w:r/>
            <w:r>
              <w:rPr>
                <w:b w:val="0"/>
                <w:color w:val="2D2D2D"/>
                <w:sz w:val="19"/>
              </w:rPr>
              <w:t>45.29</w:t>
            </w:r>
          </w:p>
        </w:tc>
        <w:tc>
          <w:tcPr>
            <w:tcW w:type="dxa" w:w="1440"/>
            <w:shd w:fill="F7F4FB"/>
            <w:vAlign w:val="center"/>
          </w:tcPr>
          <w:p>
            <w:pPr>
              <w:jc w:val="left"/>
            </w:pPr>
            <w:r/>
            <w:r>
              <w:rPr>
                <w:b w:val="0"/>
                <w:color w:val="2D2D2D"/>
                <w:sz w:val="19"/>
              </w:rPr>
              <w:t>1.97</w:t>
            </w:r>
          </w:p>
        </w:tc>
      </w:tr>
      <w:tr>
        <w:tc>
          <w:tcPr>
            <w:tcW w:type="dxa" w:w="2880"/>
            <w:vAlign w:val="center"/>
          </w:tcPr>
          <w:p>
            <w:pPr>
              <w:jc w:val="left"/>
            </w:pPr>
            <w:r/>
            <w:r>
              <w:rPr>
                <w:b w:val="0"/>
                <w:color w:val="2D2D2D"/>
                <w:sz w:val="19"/>
              </w:rPr>
              <w:t>how_to</w:t>
            </w:r>
          </w:p>
        </w:tc>
        <w:tc>
          <w:tcPr>
            <w:tcW w:type="dxa" w:w="1440"/>
            <w:vAlign w:val="center"/>
          </w:tcPr>
          <w:p>
            <w:pPr>
              <w:jc w:val="left"/>
            </w:pPr>
            <w:r/>
            <w:r>
              <w:rPr>
                <w:b w:val="0"/>
                <w:color w:val="2D2D2D"/>
                <w:sz w:val="19"/>
              </w:rPr>
              <w:t>6,291</w:t>
            </w:r>
          </w:p>
        </w:tc>
        <w:tc>
          <w:tcPr>
            <w:tcW w:type="dxa" w:w="1440"/>
            <w:vAlign w:val="center"/>
          </w:tcPr>
          <w:p>
            <w:pPr>
              <w:jc w:val="left"/>
            </w:pPr>
            <w:r/>
            <w:r>
              <w:rPr>
                <w:b w:val="0"/>
                <w:color w:val="2D2D2D"/>
                <w:sz w:val="19"/>
              </w:rPr>
              <w:t>12.64%</w:t>
            </w:r>
          </w:p>
        </w:tc>
        <w:tc>
          <w:tcPr>
            <w:tcW w:type="dxa" w:w="2160"/>
            <w:vAlign w:val="center"/>
          </w:tcPr>
          <w:p>
            <w:pPr>
              <w:jc w:val="left"/>
            </w:pPr>
            <w:r/>
            <w:r>
              <w:rPr>
                <w:b w:val="0"/>
                <w:color w:val="2D2D2D"/>
                <w:sz w:val="19"/>
              </w:rPr>
              <w:t>44.58</w:t>
            </w:r>
          </w:p>
        </w:tc>
        <w:tc>
          <w:tcPr>
            <w:tcW w:type="dxa" w:w="1440"/>
            <w:vAlign w:val="center"/>
          </w:tcPr>
          <w:p>
            <w:pPr>
              <w:jc w:val="left"/>
            </w:pPr>
            <w:r/>
            <w:r>
              <w:rPr>
                <w:b w:val="0"/>
                <w:color w:val="2D2D2D"/>
                <w:sz w:val="19"/>
              </w:rPr>
              <w:t>2.60</w:t>
            </w:r>
          </w:p>
        </w:tc>
      </w:tr>
      <w:tr>
        <w:tc>
          <w:tcPr>
            <w:tcW w:type="dxa" w:w="2880"/>
            <w:shd w:fill="F7F4FB"/>
            <w:vAlign w:val="center"/>
          </w:tcPr>
          <w:p>
            <w:pPr>
              <w:jc w:val="left"/>
            </w:pPr>
            <w:r/>
            <w:r>
              <w:rPr>
                <w:b w:val="0"/>
                <w:color w:val="2D2D2D"/>
                <w:sz w:val="19"/>
              </w:rPr>
              <w:t>other</w:t>
            </w:r>
          </w:p>
        </w:tc>
        <w:tc>
          <w:tcPr>
            <w:tcW w:type="dxa" w:w="1440"/>
            <w:shd w:fill="F7F4FB"/>
            <w:vAlign w:val="center"/>
          </w:tcPr>
          <w:p>
            <w:pPr>
              <w:jc w:val="left"/>
            </w:pPr>
            <w:r/>
            <w:r>
              <w:rPr>
                <w:b w:val="0"/>
                <w:color w:val="2D2D2D"/>
                <w:sz w:val="19"/>
              </w:rPr>
              <w:t>6,285</w:t>
            </w:r>
          </w:p>
        </w:tc>
        <w:tc>
          <w:tcPr>
            <w:tcW w:type="dxa" w:w="1440"/>
            <w:shd w:fill="F7F4FB"/>
            <w:vAlign w:val="center"/>
          </w:tcPr>
          <w:p>
            <w:pPr>
              <w:jc w:val="left"/>
            </w:pPr>
            <w:r/>
            <w:r>
              <w:rPr>
                <w:b w:val="0"/>
                <w:color w:val="2D2D2D"/>
                <w:sz w:val="19"/>
              </w:rPr>
              <w:t>12.63%</w:t>
            </w:r>
          </w:p>
        </w:tc>
        <w:tc>
          <w:tcPr>
            <w:tcW w:type="dxa" w:w="2160"/>
            <w:shd w:fill="F7F4FB"/>
            <w:vAlign w:val="center"/>
          </w:tcPr>
          <w:p>
            <w:pPr>
              <w:jc w:val="left"/>
            </w:pPr>
            <w:r/>
            <w:r>
              <w:rPr>
                <w:b w:val="0"/>
                <w:color w:val="2D2D2D"/>
                <w:sz w:val="19"/>
              </w:rPr>
              <w:t>45.22</w:t>
            </w:r>
          </w:p>
        </w:tc>
        <w:tc>
          <w:tcPr>
            <w:tcW w:type="dxa" w:w="1440"/>
            <w:shd w:fill="F7F4FB"/>
            <w:vAlign w:val="center"/>
          </w:tcPr>
          <w:p>
            <w:pPr>
              <w:jc w:val="left"/>
            </w:pPr>
            <w:r/>
            <w:r>
              <w:rPr>
                <w:b w:val="0"/>
                <w:color w:val="2D2D2D"/>
                <w:sz w:val="19"/>
              </w:rPr>
              <w:t>2.42</w:t>
            </w:r>
          </w:p>
        </w:tc>
      </w:tr>
      <w:tr>
        <w:tc>
          <w:tcPr>
            <w:tcW w:type="dxa" w:w="2880"/>
            <w:vAlign w:val="center"/>
          </w:tcPr>
          <w:p>
            <w:pPr>
              <w:jc w:val="left"/>
            </w:pPr>
            <w:r/>
            <w:r>
              <w:rPr>
                <w:b w:val="0"/>
                <w:color w:val="2D2D2D"/>
                <w:sz w:val="19"/>
              </w:rPr>
              <w:t>security_concern</w:t>
            </w:r>
          </w:p>
        </w:tc>
        <w:tc>
          <w:tcPr>
            <w:tcW w:type="dxa" w:w="1440"/>
            <w:vAlign w:val="center"/>
          </w:tcPr>
          <w:p>
            <w:pPr>
              <w:jc w:val="left"/>
            </w:pPr>
            <w:r/>
            <w:r>
              <w:rPr>
                <w:b w:val="0"/>
                <w:color w:val="2D2D2D"/>
                <w:sz w:val="19"/>
              </w:rPr>
              <w:t>6,276</w:t>
            </w:r>
          </w:p>
        </w:tc>
        <w:tc>
          <w:tcPr>
            <w:tcW w:type="dxa" w:w="1440"/>
            <w:vAlign w:val="center"/>
          </w:tcPr>
          <w:p>
            <w:pPr>
              <w:jc w:val="left"/>
            </w:pPr>
            <w:r/>
            <w:r>
              <w:rPr>
                <w:b w:val="0"/>
                <w:color w:val="2D2D2D"/>
                <w:sz w:val="19"/>
              </w:rPr>
              <w:t>12.61%</w:t>
            </w:r>
          </w:p>
        </w:tc>
        <w:tc>
          <w:tcPr>
            <w:tcW w:type="dxa" w:w="2160"/>
            <w:vAlign w:val="center"/>
          </w:tcPr>
          <w:p>
            <w:pPr>
              <w:jc w:val="left"/>
            </w:pPr>
            <w:r/>
            <w:r>
              <w:rPr>
                <w:b w:val="0"/>
                <w:color w:val="2D2D2D"/>
                <w:sz w:val="19"/>
              </w:rPr>
              <w:t>44.65</w:t>
            </w:r>
          </w:p>
        </w:tc>
        <w:tc>
          <w:tcPr>
            <w:tcW w:type="dxa" w:w="1440"/>
            <w:vAlign w:val="center"/>
          </w:tcPr>
          <w:p>
            <w:pPr>
              <w:jc w:val="left"/>
            </w:pPr>
            <w:r/>
            <w:r>
              <w:rPr>
                <w:b w:val="0"/>
                <w:color w:val="2D2D2D"/>
                <w:sz w:val="19"/>
              </w:rPr>
              <w:t>1.96</w:t>
            </w:r>
          </w:p>
        </w:tc>
      </w:tr>
      <w:tr>
        <w:tc>
          <w:tcPr>
            <w:tcW w:type="dxa" w:w="2880"/>
            <w:shd w:fill="F7F4FB"/>
            <w:vAlign w:val="center"/>
          </w:tcPr>
          <w:p>
            <w:pPr>
              <w:jc w:val="left"/>
            </w:pPr>
            <w:r/>
            <w:r>
              <w:rPr>
                <w:b w:val="0"/>
                <w:color w:val="2D2D2D"/>
                <w:sz w:val="19"/>
              </w:rPr>
              <w:t>performance</w:t>
            </w:r>
          </w:p>
        </w:tc>
        <w:tc>
          <w:tcPr>
            <w:tcW w:type="dxa" w:w="1440"/>
            <w:shd w:fill="F7F4FB"/>
            <w:vAlign w:val="center"/>
          </w:tcPr>
          <w:p>
            <w:pPr>
              <w:jc w:val="left"/>
            </w:pPr>
            <w:r/>
            <w:r>
              <w:rPr>
                <w:b w:val="0"/>
                <w:color w:val="2D2D2D"/>
                <w:sz w:val="19"/>
              </w:rPr>
              <w:t>6,150</w:t>
            </w:r>
          </w:p>
        </w:tc>
        <w:tc>
          <w:tcPr>
            <w:tcW w:type="dxa" w:w="1440"/>
            <w:shd w:fill="F7F4FB"/>
            <w:vAlign w:val="center"/>
          </w:tcPr>
          <w:p>
            <w:pPr>
              <w:jc w:val="left"/>
            </w:pPr>
            <w:r/>
            <w:r>
              <w:rPr>
                <w:b w:val="0"/>
                <w:color w:val="2D2D2D"/>
                <w:sz w:val="19"/>
              </w:rPr>
              <w:t>12.36%</w:t>
            </w:r>
          </w:p>
        </w:tc>
        <w:tc>
          <w:tcPr>
            <w:tcW w:type="dxa" w:w="2160"/>
            <w:shd w:fill="F7F4FB"/>
            <w:vAlign w:val="center"/>
          </w:tcPr>
          <w:p>
            <w:pPr>
              <w:jc w:val="left"/>
            </w:pPr>
            <w:r/>
            <w:r>
              <w:rPr>
                <w:b w:val="0"/>
                <w:color w:val="2D2D2D"/>
                <w:sz w:val="19"/>
              </w:rPr>
              <w:t>44.40</w:t>
            </w:r>
          </w:p>
        </w:tc>
        <w:tc>
          <w:tcPr>
            <w:tcW w:type="dxa" w:w="1440"/>
            <w:shd w:fill="F7F4FB"/>
            <w:vAlign w:val="center"/>
          </w:tcPr>
          <w:p>
            <w:pPr>
              <w:jc w:val="left"/>
            </w:pPr>
            <w:r/>
            <w:r>
              <w:rPr>
                <w:b w:val="0"/>
                <w:color w:val="2D2D2D"/>
                <w:sz w:val="19"/>
              </w:rPr>
              <w:t>1.97</w:t>
            </w:r>
          </w:p>
        </w:tc>
      </w:tr>
      <w:tr>
        <w:tc>
          <w:tcPr>
            <w:tcW w:type="dxa" w:w="2880"/>
            <w:vAlign w:val="center"/>
          </w:tcPr>
          <w:p>
            <w:pPr>
              <w:jc w:val="left"/>
            </w:pPr>
            <w:r/>
            <w:r>
              <w:rPr>
                <w:b w:val="0"/>
                <w:color w:val="2D2D2D"/>
                <w:sz w:val="19"/>
              </w:rPr>
              <w:t>bug</w:t>
            </w:r>
          </w:p>
        </w:tc>
        <w:tc>
          <w:tcPr>
            <w:tcW w:type="dxa" w:w="1440"/>
            <w:vAlign w:val="center"/>
          </w:tcPr>
          <w:p>
            <w:pPr>
              <w:jc w:val="left"/>
            </w:pPr>
            <w:r/>
            <w:r>
              <w:rPr>
                <w:b w:val="0"/>
                <w:color w:val="2D2D2D"/>
                <w:sz w:val="19"/>
              </w:rPr>
              <w:t>6,134</w:t>
            </w:r>
          </w:p>
        </w:tc>
        <w:tc>
          <w:tcPr>
            <w:tcW w:type="dxa" w:w="1440"/>
            <w:vAlign w:val="center"/>
          </w:tcPr>
          <w:p>
            <w:pPr>
              <w:jc w:val="left"/>
            </w:pPr>
            <w:r/>
            <w:r>
              <w:rPr>
                <w:b w:val="0"/>
                <w:color w:val="2D2D2D"/>
                <w:sz w:val="19"/>
              </w:rPr>
              <w:t>12.33%</w:t>
            </w:r>
          </w:p>
        </w:tc>
        <w:tc>
          <w:tcPr>
            <w:tcW w:type="dxa" w:w="2160"/>
            <w:vAlign w:val="center"/>
          </w:tcPr>
          <w:p>
            <w:pPr>
              <w:jc w:val="left"/>
            </w:pPr>
            <w:r/>
            <w:r>
              <w:rPr>
                <w:b w:val="0"/>
                <w:color w:val="2D2D2D"/>
                <w:sz w:val="19"/>
              </w:rPr>
              <w:t>44.99</w:t>
            </w:r>
          </w:p>
        </w:tc>
        <w:tc>
          <w:tcPr>
            <w:tcW w:type="dxa" w:w="1440"/>
            <w:vAlign w:val="center"/>
          </w:tcPr>
          <w:p>
            <w:pPr>
              <w:jc w:val="left"/>
            </w:pPr>
            <w:r/>
            <w:r>
              <w:rPr>
                <w:b w:val="0"/>
                <w:color w:val="2D2D2D"/>
                <w:sz w:val="19"/>
              </w:rPr>
              <w:t>2.41</w:t>
            </w:r>
          </w:p>
        </w:tc>
      </w:tr>
      <w:tr>
        <w:tc>
          <w:tcPr>
            <w:tcW w:type="dxa" w:w="2880"/>
            <w:shd w:fill="F7F4FB"/>
            <w:vAlign w:val="center"/>
          </w:tcPr>
          <w:p>
            <w:pPr>
              <w:jc w:val="left"/>
            </w:pPr>
            <w:r/>
            <w:r>
              <w:rPr>
                <w:b w:val="0"/>
                <w:color w:val="2D2D2D"/>
                <w:sz w:val="19"/>
              </w:rPr>
              <w:t>billing_problem</w:t>
            </w:r>
          </w:p>
        </w:tc>
        <w:tc>
          <w:tcPr>
            <w:tcW w:type="dxa" w:w="1440"/>
            <w:shd w:fill="F7F4FB"/>
            <w:vAlign w:val="center"/>
          </w:tcPr>
          <w:p>
            <w:pPr>
              <w:jc w:val="left"/>
            </w:pPr>
            <w:r/>
            <w:r>
              <w:rPr>
                <w:b w:val="0"/>
                <w:color w:val="2D2D2D"/>
                <w:sz w:val="19"/>
              </w:rPr>
              <w:t>6,024</w:t>
            </w:r>
          </w:p>
        </w:tc>
        <w:tc>
          <w:tcPr>
            <w:tcW w:type="dxa" w:w="1440"/>
            <w:shd w:fill="F7F4FB"/>
            <w:vAlign w:val="center"/>
          </w:tcPr>
          <w:p>
            <w:pPr>
              <w:jc w:val="left"/>
            </w:pPr>
            <w:r/>
            <w:r>
              <w:rPr>
                <w:b w:val="0"/>
                <w:color w:val="2D2D2D"/>
                <w:sz w:val="19"/>
              </w:rPr>
              <w:t>12.10%</w:t>
            </w:r>
          </w:p>
        </w:tc>
        <w:tc>
          <w:tcPr>
            <w:tcW w:type="dxa" w:w="2160"/>
            <w:shd w:fill="F7F4FB"/>
            <w:vAlign w:val="center"/>
          </w:tcPr>
          <w:p>
            <w:pPr>
              <w:jc w:val="left"/>
            </w:pPr>
            <w:r/>
            <w:r>
              <w:rPr>
                <w:b w:val="0"/>
                <w:color w:val="2D2D2D"/>
                <w:sz w:val="19"/>
              </w:rPr>
              <w:t>44.58</w:t>
            </w:r>
          </w:p>
        </w:tc>
        <w:tc>
          <w:tcPr>
            <w:tcW w:type="dxa" w:w="1440"/>
            <w:shd w:fill="F7F4FB"/>
            <w:vAlign w:val="center"/>
          </w:tcPr>
          <w:p>
            <w:pPr>
              <w:jc w:val="left"/>
            </w:pPr>
            <w:r/>
            <w:r>
              <w:rPr>
                <w:b w:val="0"/>
                <w:color w:val="2D2D2D"/>
                <w:sz w:val="19"/>
              </w:rPr>
              <w:t>1.96</w:t>
            </w:r>
          </w:p>
        </w:tc>
      </w:tr>
    </w:tbl>
    <w:p/>
    <w:p>
      <w:pPr>
        <w:pStyle w:val="Heading1"/>
      </w:pPr>
      <w:r>
        <w:rPr>
          <w:color w:val="4E377D"/>
        </w:rPr>
        <w:t>7. SQL Analysis</w:t>
      </w:r>
    </w:p>
    <w:p>
      <w:pPr>
        <w:spacing w:after="140" w:line="269" w:lineRule="auto"/>
      </w:pPr>
      <w:r>
        <w:t>MySQL was used to move from descriptive checks into business-oriented questions. The SQL file includes aggregation, filtering, HAVING, CASE expressions, date functions, conditional aggregation and a CTE.</w:t>
      </w:r>
    </w:p>
    <w:p>
      <w:pPr>
        <w:pStyle w:val="Heading2"/>
      </w:pPr>
      <w:r>
        <w:rPr>
          <w:color w:val="4E377D"/>
        </w:rPr>
        <w:t>Main SQL techniques used</w:t>
      </w:r>
    </w:p>
    <w:p>
      <w:pPr>
        <w:pStyle w:val="ListBullet"/>
        <w:spacing w:after="80"/>
      </w:pPr>
      <w:r>
        <w:t>COUNT, SUM, AVG, MIN and MAX for KPI calculations.</w:t>
      </w:r>
    </w:p>
    <w:p>
      <w:pPr>
        <w:pStyle w:val="ListBullet"/>
        <w:spacing w:after="80"/>
      </w:pPr>
      <w:r>
        <w:t>GROUP BY and ORDER BY for category-level comparisons.</w:t>
      </w:r>
    </w:p>
    <w:p>
      <w:pPr>
        <w:pStyle w:val="ListBullet"/>
        <w:spacing w:after="80"/>
      </w:pPr>
      <w:r>
        <w:t>WHERE versus HAVING for row-level and grouped filtering.</w:t>
      </w:r>
    </w:p>
    <w:p>
      <w:pPr>
        <w:pStyle w:val="ListBullet"/>
        <w:spacing w:after="80"/>
      </w:pPr>
      <w:r>
        <w:t>CASE expressions to create Fast / Medium / Slow resolution categories.</w:t>
      </w:r>
    </w:p>
    <w:p>
      <w:pPr>
        <w:pStyle w:val="ListBullet"/>
        <w:spacing w:after="80"/>
      </w:pPr>
      <w:r>
        <w:t>YEAR, MONTH, MONTHNAME and HOUR for time-based analysis.</w:t>
      </w:r>
    </w:p>
    <w:p>
      <w:pPr>
        <w:pStyle w:val="ListBullet"/>
        <w:spacing w:after="80"/>
      </w:pPr>
      <w:r>
        <w:t>Conditional aggregation to count resolved, open, high-priority and reopened tickets.</w:t>
      </w:r>
    </w:p>
    <w:p>
      <w:pPr>
        <w:pStyle w:val="ListBullet"/>
        <w:spacing w:after="80"/>
      </w:pPr>
      <w:r>
        <w:t>CTE-based analysis for channel-level filtering.</w:t>
      </w:r>
    </w:p>
    <w:p>
      <w:pPr>
        <w:pStyle w:val="Heading2"/>
      </w:pPr>
      <w:r>
        <w:rPr>
          <w:color w:val="4E377D"/>
        </w:rPr>
        <w:t>Example: priority analysis</w:t>
      </w:r>
    </w:p>
    <w:p>
      <w:pPr>
        <w:spacing w:before="60" w:after="160"/>
        <w:ind w:left="360" w:right="360"/>
        <w:shd w:fill="F3F3F3"/>
      </w:pPr>
      <w:r>
        <w:rPr>
          <w:rFonts w:ascii="Consolas" w:hAnsi="Consolas"/>
          <w:color w:val="373737"/>
          <w:sz w:val="17"/>
        </w:rPr>
        <w:t>SELECT</w:t>
        <w:br/>
        <w:t xml:space="preserve">    priority,</w:t>
        <w:br/>
        <w:t xml:space="preserve">    COUNT(*) AS ticket_count</w:t>
        <w:br/>
        <w:t>FROM support_tickets</w:t>
        <w:br/>
        <w:t>GROUP BY priority</w:t>
        <w:br/>
        <w:t>ORDER BY ticket_count DESC;</w:t>
      </w:r>
    </w:p>
    <w:p>
      <w:pPr>
        <w:pStyle w:val="Heading2"/>
      </w:pPr>
      <w:r>
        <w:rPr>
          <w:color w:val="4E377D"/>
        </w:rPr>
        <w:t>Example: issue types taking more than 45 hours on average</w:t>
      </w:r>
    </w:p>
    <w:p>
      <w:pPr>
        <w:spacing w:before="60" w:after="160"/>
        <w:ind w:left="360" w:right="360"/>
        <w:shd w:fill="F3F3F3"/>
      </w:pPr>
      <w:r>
        <w:rPr>
          <w:rFonts w:ascii="Consolas" w:hAnsi="Consolas"/>
          <w:color w:val="373737"/>
          <w:sz w:val="17"/>
        </w:rPr>
        <w:t>SELECT</w:t>
        <w:br/>
        <w:t xml:space="preserve">    issue_type,</w:t>
        <w:br/>
        <w:t xml:space="preserve">    ROUND(AVG(resolution_time_hours), 2) AS avg_resolution_time</w:t>
        <w:br/>
        <w:t>FROM support_tickets</w:t>
        <w:br/>
        <w:t>GROUP BY issue_type</w:t>
        <w:br/>
        <w:t>HAVING AVG(resolution_time_hours) &gt; 45;</w:t>
      </w:r>
    </w:p>
    <w:p>
      <w:pPr>
        <w:pStyle w:val="Heading2"/>
      </w:pPr>
      <w:r>
        <w:rPr>
          <w:color w:val="4E377D"/>
        </w:rPr>
        <w:t>Example: channel analysis with a CTE</w:t>
      </w:r>
    </w:p>
    <w:p>
      <w:pPr>
        <w:spacing w:before="60" w:after="160"/>
        <w:ind w:left="360" w:right="360"/>
        <w:shd w:fill="F3F3F3"/>
      </w:pPr>
      <w:r>
        <w:rPr>
          <w:rFonts w:ascii="Consolas" w:hAnsi="Consolas"/>
          <w:color w:val="373737"/>
          <w:sz w:val="17"/>
        </w:rPr>
        <w:t>WITH channel_analysis AS (</w:t>
        <w:br/>
        <w:t xml:space="preserve">    SELECT channel,</w:t>
        <w:br/>
        <w:t xml:space="preserve">           COUNT(ticket_id) AS total_tickets,</w:t>
        <w:br/>
        <w:t xml:space="preserve">           ROUND(AVG(resolution_time_hours), 2) AS avg_resolution_time</w:t>
        <w:br/>
        <w:t xml:space="preserve">    FROM support_tickets</w:t>
        <w:br/>
        <w:t xml:space="preserve">    GROUP BY channel</w:t>
        <w:br/>
        <w:t>)</w:t>
        <w:br/>
        <w:t>SELECT channel, total_tickets, avg_resolution_time</w:t>
        <w:br/>
        <w:t>FROM channel_analysis</w:t>
        <w:br/>
        <w:t>WHERE total_tickets &gt; 15000</w:t>
        <w:br/>
        <w:t xml:space="preserve">  AND avg_resolution_time &lt; 50;</w:t>
      </w:r>
    </w:p>
    <w:p>
      <w:pPr>
        <w:pStyle w:val="Heading1"/>
      </w:pPr>
      <w:r>
        <w:rPr>
          <w:color w:val="4E377D"/>
        </w:rPr>
        <w:t>8. Power BI Dashboard</w:t>
      </w:r>
    </w:p>
    <w:p>
      <w:pPr>
        <w:spacing w:after="140" w:line="269" w:lineRule="auto"/>
      </w:pPr>
      <w:r>
        <w:t>The Power BI report was built as four pages so that the same data can be viewed from different management angles. The pages use slicers for year, month, priority and channel, allowing the user to move from an overall view to a more focused operational question.</w:t>
      </w:r>
    </w:p>
    <w:p>
      <w:pPr>
        <w:pStyle w:val="Heading2"/>
      </w:pPr>
      <w:r>
        <w:rPr>
          <w:color w:val="4E377D"/>
        </w:rPr>
        <w:t>Page 1 — Summary</w:t>
      </w:r>
    </w:p>
    <w:p>
      <w:pPr>
        <w:spacing w:after="140" w:line="269" w:lineRule="auto"/>
      </w:pPr>
      <w:r>
        <w:t>The summary page brings the main KPIs together: ticket volume, average resolution time, YTD tickets and total resolution time. The supporting visuals break the workload down by month, priority, channel and resolution category.</w:t>
      </w:r>
    </w:p>
    <w:p>
      <w:r>
        <w:drawing>
          <wp:inline xmlns:a="http://schemas.openxmlformats.org/drawingml/2006/main" xmlns:pic="http://schemas.openxmlformats.org/drawingml/2006/picture">
            <wp:extent cx="5989320" cy="3369421"/>
            <wp:docPr id="1" name="Picture 1"/>
            <wp:cNvGraphicFramePr>
              <a:graphicFrameLocks noChangeAspect="1"/>
            </wp:cNvGraphicFramePr>
            <a:graphic>
              <a:graphicData uri="http://schemas.openxmlformats.org/drawingml/2006/picture">
                <pic:pic>
                  <pic:nvPicPr>
                    <pic:cNvPr id="0" name="Screenshot 2026-09-17 104009.png"/>
                    <pic:cNvPicPr/>
                  </pic:nvPicPr>
                  <pic:blipFill>
                    <a:blip r:embed="rId11"/>
                    <a:stretch>
                      <a:fillRect/>
                    </a:stretch>
                  </pic:blipFill>
                  <pic:spPr>
                    <a:xfrm>
                      <a:off x="0" y="0"/>
                      <a:ext cx="5989320" cy="3369421"/>
                    </a:xfrm>
                    <a:prstGeom prst="rect"/>
                  </pic:spPr>
                </pic:pic>
              </a:graphicData>
            </a:graphic>
          </wp:inline>
        </w:drawing>
      </w:r>
    </w:p>
    <w:p>
      <w:pPr>
        <w:spacing w:after="200"/>
        <w:jc w:val="center"/>
      </w:pPr>
      <w:r>
        <w:rPr>
          <w:i/>
          <w:color w:val="696969"/>
          <w:sz w:val="18"/>
        </w:rPr>
        <w:t>Power BI — Vertex Software Solutions Summary</w:t>
      </w:r>
    </w:p>
    <w:p>
      <w:r>
        <w:br w:type="page"/>
      </w:r>
    </w:p>
    <w:p>
      <w:pPr>
        <w:pStyle w:val="Heading2"/>
      </w:pPr>
      <w:r>
        <w:rPr>
          <w:color w:val="4E377D"/>
        </w:rPr>
        <w:t>Page 2 — Support Operations</w:t>
      </w:r>
    </w:p>
    <w:p>
      <w:pPr>
        <w:spacing w:after="140" w:line="269" w:lineRule="auto"/>
      </w:pPr>
      <w:r>
        <w:t>The operations page focuses on ticket status, issue type, CSAT score distribution and product area. It is useful for understanding where the support queue is concentrated and which product areas are generating demand.</w:t>
      </w:r>
    </w:p>
    <w:p>
      <w:r>
        <w:drawing>
          <wp:inline xmlns:a="http://schemas.openxmlformats.org/drawingml/2006/main" xmlns:pic="http://schemas.openxmlformats.org/drawingml/2006/picture">
            <wp:extent cx="5989320" cy="3360028"/>
            <wp:docPr id="2" name="Picture 2"/>
            <wp:cNvGraphicFramePr>
              <a:graphicFrameLocks noChangeAspect="1"/>
            </wp:cNvGraphicFramePr>
            <a:graphic>
              <a:graphicData uri="http://schemas.openxmlformats.org/drawingml/2006/picture">
                <pic:pic>
                  <pic:nvPicPr>
                    <pic:cNvPr id="0" name="Screenshot 2026-09-17 104049.png"/>
                    <pic:cNvPicPr/>
                  </pic:nvPicPr>
                  <pic:blipFill>
                    <a:blip r:embed="rId12"/>
                    <a:stretch>
                      <a:fillRect/>
                    </a:stretch>
                  </pic:blipFill>
                  <pic:spPr>
                    <a:xfrm>
                      <a:off x="0" y="0"/>
                      <a:ext cx="5989320" cy="3360028"/>
                    </a:xfrm>
                    <a:prstGeom prst="rect"/>
                  </pic:spPr>
                </pic:pic>
              </a:graphicData>
            </a:graphic>
          </wp:inline>
        </w:drawing>
      </w:r>
    </w:p>
    <w:p>
      <w:pPr>
        <w:spacing w:after="200"/>
        <w:jc w:val="center"/>
      </w:pPr>
      <w:r>
        <w:rPr>
          <w:i/>
          <w:color w:val="696969"/>
          <w:sz w:val="18"/>
        </w:rPr>
        <w:t>Power BI — Vertex Software Support Operations Analysis</w:t>
      </w:r>
    </w:p>
    <w:p>
      <w:r>
        <w:br w:type="page"/>
      </w:r>
    </w:p>
    <w:p>
      <w:pPr>
        <w:pStyle w:val="Heading2"/>
      </w:pPr>
      <w:r>
        <w:rPr>
          <w:color w:val="4E377D"/>
        </w:rPr>
        <w:t>Page 3 — Customer Analysis</w:t>
      </w:r>
    </w:p>
    <w:p>
      <w:pPr>
        <w:spacing w:after="140" w:line="269" w:lineRule="auto"/>
      </w:pPr>
      <w:r>
        <w:t>The customer page moves the focus from workload to customer experience. It compares CSAT by support channel, customer segment, region and issue type, while also showing the CSAT trend over time and reopened-ticket KPIs.</w:t>
      </w:r>
    </w:p>
    <w:p>
      <w:r>
        <w:drawing>
          <wp:inline xmlns:a="http://schemas.openxmlformats.org/drawingml/2006/main" xmlns:pic="http://schemas.openxmlformats.org/drawingml/2006/picture">
            <wp:extent cx="5989320" cy="3379294"/>
            <wp:docPr id="3" name="Picture 3"/>
            <wp:cNvGraphicFramePr>
              <a:graphicFrameLocks noChangeAspect="1"/>
            </wp:cNvGraphicFramePr>
            <a:graphic>
              <a:graphicData uri="http://schemas.openxmlformats.org/drawingml/2006/picture">
                <pic:pic>
                  <pic:nvPicPr>
                    <pic:cNvPr id="0" name="Screenshot 2026-09-17 104106.png"/>
                    <pic:cNvPicPr/>
                  </pic:nvPicPr>
                  <pic:blipFill>
                    <a:blip r:embed="rId13"/>
                    <a:stretch>
                      <a:fillRect/>
                    </a:stretch>
                  </pic:blipFill>
                  <pic:spPr>
                    <a:xfrm>
                      <a:off x="0" y="0"/>
                      <a:ext cx="5989320" cy="3379294"/>
                    </a:xfrm>
                    <a:prstGeom prst="rect"/>
                  </pic:spPr>
                </pic:pic>
              </a:graphicData>
            </a:graphic>
          </wp:inline>
        </w:drawing>
      </w:r>
    </w:p>
    <w:p>
      <w:pPr>
        <w:spacing w:after="200"/>
        <w:jc w:val="center"/>
      </w:pPr>
      <w:r>
        <w:rPr>
          <w:i/>
          <w:color w:val="696969"/>
          <w:sz w:val="18"/>
        </w:rPr>
        <w:t>Power BI — Vertex Software Support Customer Analysis</w:t>
      </w:r>
    </w:p>
    <w:p>
      <w:r>
        <w:br w:type="page"/>
      </w:r>
    </w:p>
    <w:p>
      <w:pPr>
        <w:pStyle w:val="Heading2"/>
      </w:pPr>
      <w:r>
        <w:rPr>
          <w:color w:val="4E377D"/>
        </w:rPr>
        <w:t>Page 4 — Management Insights</w:t>
      </w:r>
    </w:p>
    <w:p>
      <w:pPr>
        <w:spacing w:after="140" w:line="269" w:lineRule="auto"/>
      </w:pPr>
      <w:r>
        <w:t>The final page brings operational indicators together for a manager: SLA performance by priority, average resolution time by issue and customer segment, CSAT by priority/product area and reopened-ticket rate by priority.</w:t>
      </w:r>
    </w:p>
    <w:p>
      <w:r>
        <w:drawing>
          <wp:inline xmlns:a="http://schemas.openxmlformats.org/drawingml/2006/main" xmlns:pic="http://schemas.openxmlformats.org/drawingml/2006/picture">
            <wp:extent cx="5989320" cy="3334091"/>
            <wp:docPr id="4" name="Picture 4"/>
            <wp:cNvGraphicFramePr>
              <a:graphicFrameLocks noChangeAspect="1"/>
            </wp:cNvGraphicFramePr>
            <a:graphic>
              <a:graphicData uri="http://schemas.openxmlformats.org/drawingml/2006/picture">
                <pic:pic>
                  <pic:nvPicPr>
                    <pic:cNvPr id="0" name="Screenshot 2026-09-17 104510.png"/>
                    <pic:cNvPicPr/>
                  </pic:nvPicPr>
                  <pic:blipFill>
                    <a:blip r:embed="rId14"/>
                    <a:stretch>
                      <a:fillRect/>
                    </a:stretch>
                  </pic:blipFill>
                  <pic:spPr>
                    <a:xfrm>
                      <a:off x="0" y="0"/>
                      <a:ext cx="5989320" cy="3334091"/>
                    </a:xfrm>
                    <a:prstGeom prst="rect"/>
                  </pic:spPr>
                </pic:pic>
              </a:graphicData>
            </a:graphic>
          </wp:inline>
        </w:drawing>
      </w:r>
    </w:p>
    <w:p>
      <w:pPr>
        <w:spacing w:after="200"/>
        <w:jc w:val="center"/>
      </w:pPr>
      <w:r>
        <w:rPr>
          <w:i/>
          <w:color w:val="696969"/>
          <w:sz w:val="18"/>
        </w:rPr>
        <w:t>Power BI — Vertex Software Management Insights</w:t>
      </w:r>
    </w:p>
    <w:p>
      <w:r>
        <w:br w:type="page"/>
      </w:r>
    </w:p>
    <w:p>
      <w:pPr>
        <w:pStyle w:val="Heading1"/>
      </w:pPr>
      <w:r>
        <w:rPr>
          <w:color w:val="4E377D"/>
        </w:rPr>
        <w:t>9. Key Findings</w:t>
      </w:r>
    </w:p>
    <w:p>
      <w:pPr>
        <w:spacing w:after="100"/>
      </w:pPr>
      <w:r>
        <w:rPr>
          <w:b/>
          <w:color w:val="4E377D"/>
        </w:rPr>
        <w:t xml:space="preserve">Large unresolved workload: </w:t>
      </w:r>
      <w:r>
        <w:t>Only 50.15% of the 49,768 tickets in the dashboard period are marked resolved. The remaining tickets are distributed across in_progress, on_hold, closed_no_action and open statuses.</w:t>
      </w:r>
    </w:p>
    <w:p>
      <w:pPr>
        <w:spacing w:after="100"/>
      </w:pPr>
      <w:r>
        <w:rPr>
          <w:b/>
          <w:color w:val="4E377D"/>
        </w:rPr>
        <w:t xml:space="preserve">Low priority carries the largest volume: </w:t>
      </w:r>
      <w:r>
        <w:t>Low-priority tickets account for 39.89% of the dashboard-period workload, followed by medium priority at 35.23%.</w:t>
      </w:r>
    </w:p>
    <w:p>
      <w:pPr>
        <w:spacing w:after="100"/>
      </w:pPr>
      <w:r>
        <w:rPr>
          <w:b/>
          <w:color w:val="4E377D"/>
        </w:rPr>
        <w:t xml:space="preserve">Resolution time has a long tail: </w:t>
      </w:r>
      <w:r>
        <w:t>The average is 44.97 hours versus a 29.89-hour median. This means the average alone hides a meaningful group of long-running tickets.</w:t>
      </w:r>
    </w:p>
    <w:p>
      <w:pPr>
        <w:spacing w:after="100"/>
      </w:pPr>
      <w:r>
        <w:rPr>
          <w:b/>
          <w:color w:val="4E377D"/>
        </w:rPr>
        <w:t xml:space="preserve">Urgent tickets are resolved faster on average: </w:t>
      </w:r>
      <w:r>
        <w:t>Urgent tickets have an average resolution time of 27.61 hours, compared with 55.37 hours for low priority.</w:t>
      </w:r>
    </w:p>
    <w:p>
      <w:pPr>
        <w:spacing w:after="100"/>
      </w:pPr>
      <w:r>
        <w:rPr>
          <w:b/>
          <w:color w:val="4E377D"/>
        </w:rPr>
        <w:t xml:space="preserve">Issue types are evenly distributed: </w:t>
      </w:r>
      <w:r>
        <w:t>No single issue type dominates the workload. Each of the eight categories contributes roughly 12%–13% of tickets in the dashboard period.</w:t>
      </w:r>
    </w:p>
    <w:p>
      <w:pPr>
        <w:spacing w:after="100"/>
      </w:pPr>
      <w:r>
        <w:rPr>
          <w:b/>
          <w:color w:val="4E377D"/>
        </w:rPr>
        <w:t xml:space="preserve">Customer experience differs by issue type: </w:t>
      </w:r>
      <w:r>
        <w:t>Feature requests and how-to tickets have average CSAT values of 2.62 and 2.60, while security, billing, performance and account-access tickets are around 1.96–1.97.</w:t>
      </w:r>
    </w:p>
    <w:p>
      <w:pPr>
        <w:spacing w:after="100"/>
      </w:pPr>
      <w:r>
        <w:rPr>
          <w:b/>
          <w:color w:val="4E377D"/>
        </w:rPr>
        <w:t xml:space="preserve">Reopening is a measurable quality signal: </w:t>
      </w:r>
      <w:r>
        <w:t>2,483 tickets were reopened, giving a reopening rate of 4.99%.</w:t>
      </w:r>
    </w:p>
    <w:p>
      <w:pPr>
        <w:pStyle w:val="Heading1"/>
      </w:pPr>
      <w:r>
        <w:rPr>
          <w:color w:val="4E377D"/>
        </w:rPr>
        <w:t>10. Business Recommendations</w:t>
      </w:r>
    </w:p>
    <w:p>
      <w:pPr>
        <w:spacing w:after="140" w:line="269" w:lineRule="auto"/>
      </w:pPr>
      <w:r>
        <w:t>The recommendations below are tied directly to the patterns found in the dataset. They are framed as actions a support team could investigate rather than as assumptions about the real-world organisation.</w:t>
      </w:r>
    </w:p>
    <w:p>
      <w:pPr>
        <w:spacing w:after="120"/>
      </w:pPr>
      <w:r>
        <w:rPr>
          <w:b/>
          <w:color w:val="4E377D"/>
        </w:rPr>
        <w:t>Focus queue reviews on aging low-priority tickets</w:t>
      </w:r>
      <w:r>
        <w:t xml:space="preserve"> — Low-priority tickets have the highest average resolution time. A weekly aging report could identify low-priority tickets that have remained open beyond an agreed internal threshold.</w:t>
      </w:r>
    </w:p>
    <w:p>
      <w:pPr>
        <w:spacing w:after="120"/>
      </w:pPr>
      <w:r>
        <w:rPr>
          <w:b/>
          <w:color w:val="4E377D"/>
        </w:rPr>
        <w:t>Separate unresolved workload from resolved workload</w:t>
      </w:r>
      <w:r>
        <w:t xml:space="preserve"> — Because resolution time is missing for open, on_hold and in_progress tickets, management reporting should keep 'current queue' and 'completed ticket performance' as separate views.</w:t>
      </w:r>
    </w:p>
    <w:p>
      <w:pPr>
        <w:spacing w:after="120"/>
      </w:pPr>
      <w:r>
        <w:rPr>
          <w:b/>
          <w:color w:val="4E377D"/>
        </w:rPr>
        <w:t>Investigate low-CSAT issue types</w:t>
      </w:r>
      <w:r>
        <w:t xml:space="preserve"> — Security concern, billing problem, performance and account access show lower CSAT averages than feature-request and how-to tickets. These categories are good candidates for root-cause analysis, knowledge-base improvements or process review.</w:t>
      </w:r>
    </w:p>
    <w:p>
      <w:pPr>
        <w:spacing w:after="120"/>
      </w:pPr>
      <w:r>
        <w:rPr>
          <w:b/>
          <w:color w:val="4E377D"/>
        </w:rPr>
        <w:t>Track reopened tickets as a quality KPI</w:t>
      </w:r>
      <w:r>
        <w:t xml:space="preserve"> — A reopening rate of about 5% is visible in the dashboard. Breaking reopened tickets down by issue type, product area and agent/team would help identify recurring resolution-quality problems.</w:t>
      </w:r>
    </w:p>
    <w:p>
      <w:pPr>
        <w:spacing w:after="120"/>
      </w:pPr>
      <w:r>
        <w:rPr>
          <w:b/>
          <w:color w:val="4E377D"/>
        </w:rPr>
        <w:t>Use median as well as average resolution time</w:t>
      </w:r>
      <w:r>
        <w:t xml:space="preserve"> — The large gap between the mean and median shows why a single average can hide the long tail. A management page should ideally show both.</w:t>
      </w:r>
    </w:p>
    <w:p>
      <w:pPr>
        <w:spacing w:after="120"/>
      </w:pPr>
      <w:r>
        <w:rPr>
          <w:b/>
          <w:color w:val="4E377D"/>
        </w:rPr>
        <w:t>Document the CSAT=0 rule</w:t>
      </w:r>
      <w:r>
        <w:t xml:space="preserve"> — Because nearly 30% of records contain a zero CSAT value, the reporting definition should clearly state whether zero means 'no response' or a genuine score. This prevents misleading comparisons.</w:t>
      </w:r>
    </w:p>
    <w:p>
      <w:pPr>
        <w:pStyle w:val="Heading1"/>
      </w:pPr>
      <w:r>
        <w:rPr>
          <w:color w:val="4E377D"/>
        </w:rPr>
        <w:t>11. Project Workflow and Technical Skills</w:t>
      </w:r>
    </w:p>
    <w:p>
      <w:pPr>
        <w:spacing w:after="140" w:line="269" w:lineRule="auto"/>
      </w:pPr>
      <w:r>
        <w:t>The project follows a practical analyst workflow that can be explained clearly in an interview or portfolio review:</w:t>
      </w:r>
    </w:p>
    <w:tbl>
      <w:tblPr>
        <w:tblStyle w:val="TableGrid"/>
        <w:tblW w:type="auto" w:w="0"/>
        <w:jc w:val="center"/>
        <w:tblLook w:firstColumn="1" w:firstRow="1" w:lastColumn="0" w:lastRow="0" w:noHBand="0" w:noVBand="1" w:val="04A0"/>
      </w:tblPr>
      <w:tblGrid>
        <w:gridCol w:w="3389"/>
        <w:gridCol w:w="3389"/>
        <w:gridCol w:w="3389"/>
      </w:tblGrid>
      <w:tr>
        <w:tc>
          <w:tcPr>
            <w:tcW w:type="dxa" w:w="864"/>
            <w:shd w:fill="5B3F8C"/>
            <w:vAlign w:val="center"/>
          </w:tcPr>
          <w:p>
            <w:pPr>
              <w:jc w:val="left"/>
            </w:pPr>
            <w:r/>
            <w:r>
              <w:rPr>
                <w:b/>
                <w:color w:val="FFFFFF"/>
                <w:sz w:val="19"/>
              </w:rPr>
              <w:t>Step</w:t>
            </w:r>
          </w:p>
        </w:tc>
        <w:tc>
          <w:tcPr>
            <w:tcW w:type="dxa" w:w="2592"/>
            <w:shd w:fill="5B3F8C"/>
            <w:vAlign w:val="center"/>
          </w:tcPr>
          <w:p>
            <w:pPr>
              <w:jc w:val="left"/>
            </w:pPr>
            <w:r/>
            <w:r>
              <w:rPr>
                <w:b/>
                <w:color w:val="FFFFFF"/>
                <w:sz w:val="19"/>
              </w:rPr>
              <w:t>Stage</w:t>
            </w:r>
          </w:p>
        </w:tc>
        <w:tc>
          <w:tcPr>
            <w:tcW w:type="dxa" w:w="5616"/>
            <w:shd w:fill="5B3F8C"/>
            <w:vAlign w:val="center"/>
          </w:tcPr>
          <w:p>
            <w:pPr>
              <w:jc w:val="left"/>
            </w:pPr>
            <w:r/>
            <w:r>
              <w:rPr>
                <w:b/>
                <w:color w:val="FFFFFF"/>
                <w:sz w:val="19"/>
              </w:rPr>
              <w:t>What was done</w:t>
            </w:r>
          </w:p>
        </w:tc>
      </w:tr>
      <w:tr>
        <w:tc>
          <w:tcPr>
            <w:tcW w:type="dxa" w:w="864"/>
            <w:vAlign w:val="center"/>
          </w:tcPr>
          <w:p>
            <w:pPr>
              <w:jc w:val="left"/>
            </w:pPr>
            <w:r/>
            <w:r>
              <w:rPr>
                <w:b w:val="0"/>
                <w:color w:val="2D2D2D"/>
                <w:sz w:val="19"/>
              </w:rPr>
              <w:t>1</w:t>
            </w:r>
          </w:p>
        </w:tc>
        <w:tc>
          <w:tcPr>
            <w:tcW w:type="dxa" w:w="2592"/>
            <w:vAlign w:val="center"/>
          </w:tcPr>
          <w:p>
            <w:pPr>
              <w:jc w:val="left"/>
            </w:pPr>
            <w:r/>
            <w:r>
              <w:rPr>
                <w:b w:val="0"/>
                <w:color w:val="2D2D2D"/>
                <w:sz w:val="19"/>
              </w:rPr>
              <w:t>Raw CSV</w:t>
            </w:r>
          </w:p>
        </w:tc>
        <w:tc>
          <w:tcPr>
            <w:tcW w:type="dxa" w:w="5616"/>
            <w:vAlign w:val="center"/>
          </w:tcPr>
          <w:p>
            <w:pPr>
              <w:jc w:val="left"/>
            </w:pPr>
            <w:r/>
            <w:r>
              <w:rPr>
                <w:b w:val="0"/>
                <w:color w:val="2D2D2D"/>
                <w:sz w:val="19"/>
              </w:rPr>
              <w:t>100,000 support-ticket records</w:t>
            </w:r>
          </w:p>
        </w:tc>
      </w:tr>
      <w:tr>
        <w:tc>
          <w:tcPr>
            <w:tcW w:type="dxa" w:w="864"/>
            <w:shd w:fill="F7F4FB"/>
            <w:vAlign w:val="center"/>
          </w:tcPr>
          <w:p>
            <w:pPr>
              <w:jc w:val="left"/>
            </w:pPr>
            <w:r/>
            <w:r>
              <w:rPr>
                <w:b w:val="0"/>
                <w:color w:val="2D2D2D"/>
                <w:sz w:val="19"/>
              </w:rPr>
              <w:t>2</w:t>
            </w:r>
          </w:p>
        </w:tc>
        <w:tc>
          <w:tcPr>
            <w:tcW w:type="dxa" w:w="2592"/>
            <w:shd w:fill="F7F4FB"/>
            <w:vAlign w:val="center"/>
          </w:tcPr>
          <w:p>
            <w:pPr>
              <w:jc w:val="left"/>
            </w:pPr>
            <w:r/>
            <w:r>
              <w:rPr>
                <w:b w:val="0"/>
                <w:color w:val="2D2D2D"/>
                <w:sz w:val="19"/>
              </w:rPr>
              <w:t>Python / Pandas</w:t>
            </w:r>
          </w:p>
        </w:tc>
        <w:tc>
          <w:tcPr>
            <w:tcW w:type="dxa" w:w="5616"/>
            <w:shd w:fill="F7F4FB"/>
            <w:vAlign w:val="center"/>
          </w:tcPr>
          <w:p>
            <w:pPr>
              <w:jc w:val="left"/>
            </w:pPr>
            <w:r/>
            <w:r>
              <w:rPr>
                <w:b w:val="0"/>
                <w:color w:val="2D2D2D"/>
                <w:sz w:val="19"/>
              </w:rPr>
              <w:t>Profiling, missing-value checks, duplicate checks, type conversion and EDA</w:t>
            </w:r>
          </w:p>
        </w:tc>
      </w:tr>
      <w:tr>
        <w:tc>
          <w:tcPr>
            <w:tcW w:type="dxa" w:w="864"/>
            <w:vAlign w:val="center"/>
          </w:tcPr>
          <w:p>
            <w:pPr>
              <w:jc w:val="left"/>
            </w:pPr>
            <w:r/>
            <w:r>
              <w:rPr>
                <w:b w:val="0"/>
                <w:color w:val="2D2D2D"/>
                <w:sz w:val="19"/>
              </w:rPr>
              <w:t>3</w:t>
            </w:r>
          </w:p>
        </w:tc>
        <w:tc>
          <w:tcPr>
            <w:tcW w:type="dxa" w:w="2592"/>
            <w:vAlign w:val="center"/>
          </w:tcPr>
          <w:p>
            <w:pPr>
              <w:jc w:val="left"/>
            </w:pPr>
            <w:r/>
            <w:r>
              <w:rPr>
                <w:b w:val="0"/>
                <w:color w:val="2D2D2D"/>
                <w:sz w:val="19"/>
              </w:rPr>
              <w:t>Cleaned dataset</w:t>
            </w:r>
          </w:p>
        </w:tc>
        <w:tc>
          <w:tcPr>
            <w:tcW w:type="dxa" w:w="5616"/>
            <w:vAlign w:val="center"/>
          </w:tcPr>
          <w:p>
            <w:pPr>
              <w:jc w:val="left"/>
            </w:pPr>
            <w:r/>
            <w:r>
              <w:rPr>
                <w:b w:val="0"/>
                <w:color w:val="2D2D2D"/>
                <w:sz w:val="19"/>
              </w:rPr>
              <w:t>Validated categories and handled missing region values</w:t>
            </w:r>
          </w:p>
        </w:tc>
      </w:tr>
      <w:tr>
        <w:tc>
          <w:tcPr>
            <w:tcW w:type="dxa" w:w="864"/>
            <w:shd w:fill="F7F4FB"/>
            <w:vAlign w:val="center"/>
          </w:tcPr>
          <w:p>
            <w:pPr>
              <w:jc w:val="left"/>
            </w:pPr>
            <w:r/>
            <w:r>
              <w:rPr>
                <w:b w:val="0"/>
                <w:color w:val="2D2D2D"/>
                <w:sz w:val="19"/>
              </w:rPr>
              <w:t>4</w:t>
            </w:r>
          </w:p>
        </w:tc>
        <w:tc>
          <w:tcPr>
            <w:tcW w:type="dxa" w:w="2592"/>
            <w:shd w:fill="F7F4FB"/>
            <w:vAlign w:val="center"/>
          </w:tcPr>
          <w:p>
            <w:pPr>
              <w:jc w:val="left"/>
            </w:pPr>
            <w:r/>
            <w:r>
              <w:rPr>
                <w:b w:val="0"/>
                <w:color w:val="2D2D2D"/>
                <w:sz w:val="19"/>
              </w:rPr>
              <w:t>MySQL</w:t>
            </w:r>
          </w:p>
        </w:tc>
        <w:tc>
          <w:tcPr>
            <w:tcW w:type="dxa" w:w="5616"/>
            <w:shd w:fill="F7F4FB"/>
            <w:vAlign w:val="center"/>
          </w:tcPr>
          <w:p>
            <w:pPr>
              <w:jc w:val="left"/>
            </w:pPr>
            <w:r/>
            <w:r>
              <w:rPr>
                <w:b w:val="0"/>
                <w:color w:val="2D2D2D"/>
                <w:sz w:val="19"/>
              </w:rPr>
              <w:t>Business questions, aggregations, filtering, CASE logic, date analysis and CTE</w:t>
            </w:r>
          </w:p>
        </w:tc>
      </w:tr>
      <w:tr>
        <w:tc>
          <w:tcPr>
            <w:tcW w:type="dxa" w:w="864"/>
            <w:vAlign w:val="center"/>
          </w:tcPr>
          <w:p>
            <w:pPr>
              <w:jc w:val="left"/>
            </w:pPr>
            <w:r/>
            <w:r>
              <w:rPr>
                <w:b w:val="0"/>
                <w:color w:val="2D2D2D"/>
                <w:sz w:val="19"/>
              </w:rPr>
              <w:t>5</w:t>
            </w:r>
          </w:p>
        </w:tc>
        <w:tc>
          <w:tcPr>
            <w:tcW w:type="dxa" w:w="2592"/>
            <w:vAlign w:val="center"/>
          </w:tcPr>
          <w:p>
            <w:pPr>
              <w:jc w:val="left"/>
            </w:pPr>
            <w:r/>
            <w:r>
              <w:rPr>
                <w:b w:val="0"/>
                <w:color w:val="2D2D2D"/>
                <w:sz w:val="19"/>
              </w:rPr>
              <w:t>Power BI</w:t>
            </w:r>
          </w:p>
        </w:tc>
        <w:tc>
          <w:tcPr>
            <w:tcW w:type="dxa" w:w="5616"/>
            <w:vAlign w:val="center"/>
          </w:tcPr>
          <w:p>
            <w:pPr>
              <w:jc w:val="left"/>
            </w:pPr>
            <w:r/>
            <w:r>
              <w:rPr>
                <w:b w:val="0"/>
                <w:color w:val="2D2D2D"/>
                <w:sz w:val="19"/>
              </w:rPr>
              <w:t>Data model, DAX measures, slicers, KPI cards and interactive visuals</w:t>
            </w:r>
          </w:p>
        </w:tc>
      </w:tr>
      <w:tr>
        <w:tc>
          <w:tcPr>
            <w:tcW w:type="dxa" w:w="864"/>
            <w:shd w:fill="F7F4FB"/>
            <w:vAlign w:val="center"/>
          </w:tcPr>
          <w:p>
            <w:pPr>
              <w:jc w:val="left"/>
            </w:pPr>
            <w:r/>
            <w:r>
              <w:rPr>
                <w:b w:val="0"/>
                <w:color w:val="2D2D2D"/>
                <w:sz w:val="19"/>
              </w:rPr>
              <w:t>6</w:t>
            </w:r>
          </w:p>
        </w:tc>
        <w:tc>
          <w:tcPr>
            <w:tcW w:type="dxa" w:w="2592"/>
            <w:shd w:fill="F7F4FB"/>
            <w:vAlign w:val="center"/>
          </w:tcPr>
          <w:p>
            <w:pPr>
              <w:jc w:val="left"/>
            </w:pPr>
            <w:r/>
            <w:r>
              <w:rPr>
                <w:b w:val="0"/>
                <w:color w:val="2D2D2D"/>
                <w:sz w:val="19"/>
              </w:rPr>
              <w:t>Business output</w:t>
            </w:r>
          </w:p>
        </w:tc>
        <w:tc>
          <w:tcPr>
            <w:tcW w:type="dxa" w:w="5616"/>
            <w:shd w:fill="F7F4FB"/>
            <w:vAlign w:val="center"/>
          </w:tcPr>
          <w:p>
            <w:pPr>
              <w:jc w:val="left"/>
            </w:pPr>
            <w:r/>
            <w:r>
              <w:rPr>
                <w:b w:val="0"/>
                <w:color w:val="2D2D2D"/>
                <w:sz w:val="19"/>
              </w:rPr>
              <w:t>Operations, customer and management views with actionable findings</w:t>
            </w:r>
          </w:p>
        </w:tc>
      </w:tr>
    </w:tbl>
    <w:p/>
    <w:p>
      <w:pPr>
        <w:pStyle w:val="Heading2"/>
      </w:pPr>
      <w:r>
        <w:rPr>
          <w:color w:val="4E377D"/>
        </w:rPr>
        <w:t>Skills demonstrated</w:t>
      </w:r>
    </w:p>
    <w:p>
      <w:pPr>
        <w:pStyle w:val="ListBullet"/>
        <w:spacing w:after="80"/>
      </w:pPr>
      <w:r>
        <w:t>Python data analysis with Pandas and NumPy</w:t>
      </w:r>
    </w:p>
    <w:p>
      <w:pPr>
        <w:pStyle w:val="ListBullet"/>
        <w:spacing w:after="80"/>
      </w:pPr>
      <w:r>
        <w:t>Data cleaning and quality validation</w:t>
      </w:r>
    </w:p>
    <w:p>
      <w:pPr>
        <w:pStyle w:val="ListBullet"/>
        <w:spacing w:after="80"/>
      </w:pPr>
      <w:r>
        <w:t>Exploratory data analysis and outlier analysis</w:t>
      </w:r>
    </w:p>
    <w:p>
      <w:pPr>
        <w:pStyle w:val="ListBullet"/>
        <w:spacing w:after="80"/>
      </w:pPr>
      <w:r>
        <w:t>SQL aggregation, filtering and business logic</w:t>
      </w:r>
    </w:p>
    <w:p>
      <w:pPr>
        <w:pStyle w:val="ListBullet"/>
        <w:spacing w:after="80"/>
      </w:pPr>
      <w:r>
        <w:t>CTEs and date-based analysis in MySQL</w:t>
      </w:r>
    </w:p>
    <w:p>
      <w:pPr>
        <w:pStyle w:val="ListBullet"/>
        <w:spacing w:after="80"/>
      </w:pPr>
      <w:r>
        <w:t>Power BI dashboard development</w:t>
      </w:r>
    </w:p>
    <w:p>
      <w:pPr>
        <w:pStyle w:val="ListBullet"/>
        <w:spacing w:after="80"/>
      </w:pPr>
      <w:r>
        <w:t>DAX KPI calculations and time-based measures</w:t>
      </w:r>
    </w:p>
    <w:p>
      <w:pPr>
        <w:pStyle w:val="ListBullet"/>
        <w:spacing w:after="80"/>
      </w:pPr>
      <w:r>
        <w:t>Business storytelling and insight generation</w:t>
      </w:r>
    </w:p>
    <w:p>
      <w:pPr>
        <w:pStyle w:val="Heading1"/>
      </w:pPr>
      <w:r>
        <w:rPr>
          <w:color w:val="4E377D"/>
        </w:rPr>
        <w:t>12. Limitations and Next Steps</w:t>
      </w:r>
    </w:p>
    <w:p>
      <w:pPr>
        <w:spacing w:after="140" w:line="269" w:lineRule="auto"/>
      </w:pPr>
      <w:r>
        <w:t>This is a synthetic dataset, so the findings should be presented as a portfolio case study rather than as verified performance of a real support organisation.</w:t>
      </w:r>
    </w:p>
    <w:p>
      <w:pPr>
        <w:pStyle w:val="ListBullet"/>
        <w:spacing w:after="80"/>
      </w:pPr>
      <w:r>
        <w:t>The dashboard screenshots focus on 2022–2023, while the raw dataset extends through 2025.</w:t>
      </w:r>
    </w:p>
    <w:p>
      <w:pPr>
        <w:pStyle w:val="ListBullet"/>
        <w:spacing w:after="80"/>
      </w:pPr>
      <w:r>
        <w:t>Resolution-time analysis uses only records where resolution_time_hours is available. Missing values correspond to unresolved workflow statuses.</w:t>
      </w:r>
    </w:p>
    <w:p>
      <w:pPr>
        <w:pStyle w:val="ListBullet"/>
        <w:spacing w:after="80"/>
      </w:pPr>
      <w:r>
        <w:t>CSAT=0 appears frequently and was treated as a non-response in a separate EDA view. The dashboard average still reflects the stored 0–5 field.</w:t>
      </w:r>
    </w:p>
    <w:p>
      <w:pPr>
        <w:pStyle w:val="ListBullet"/>
        <w:spacing w:after="80"/>
      </w:pPr>
      <w:r>
        <w:t>The source data does not provide a clear SLA target field. The dashboard contains an SLA performance visual, but the exact business definition of that measure should be documented before using it as a formal SLA-compliance KPI.</w:t>
      </w:r>
    </w:p>
    <w:p>
      <w:pPr>
        <w:pStyle w:val="ListBullet"/>
        <w:spacing w:after="80"/>
      </w:pPr>
      <w:r>
        <w:t>The next useful enhancement would be a drill-through page for reopened tickets and a root-cause view by product area, issue type and status.</w:t>
      </w:r>
    </w:p>
    <w:p>
      <w:pPr>
        <w:pStyle w:val="Heading1"/>
      </w:pPr>
      <w:r>
        <w:rPr>
          <w:color w:val="4E377D"/>
        </w:rPr>
        <w:t>13. Appendix – Selected SQL Queries</w:t>
      </w:r>
    </w:p>
    <w:p>
      <w:pPr>
        <w:spacing w:after="140" w:line="269" w:lineRule="auto"/>
      </w:pPr>
      <w:r>
        <w:t>The project SQL file contains the full set of checks and analysis queries. The examples below represent the main patterns used.</w:t>
      </w:r>
    </w:p>
    <w:p>
      <w:pPr>
        <w:pStyle w:val="Heading3"/>
      </w:pPr>
      <w:r>
        <w:rPr>
          <w:color w:val="4E377D"/>
        </w:rPr>
        <w:t>Overall KPI check</w:t>
      </w:r>
    </w:p>
    <w:p>
      <w:pPr>
        <w:spacing w:before="60" w:after="160"/>
        <w:ind w:left="360" w:right="360"/>
        <w:shd w:fill="F3F3F3"/>
      </w:pPr>
      <w:r>
        <w:rPr>
          <w:rFonts w:ascii="Consolas" w:hAnsi="Consolas"/>
          <w:color w:val="373737"/>
          <w:sz w:val="17"/>
        </w:rPr>
        <w:t>SELECT</w:t>
        <w:br/>
        <w:t xml:space="preserve">    COUNT(ticket_id) AS total_tickets,</w:t>
        <w:br/>
        <w:t xml:space="preserve">    ROUND(AVG(resolution_time_hours), 2) AS avg_resolution_time,</w:t>
        <w:br/>
        <w:t xml:space="preserve">    MIN(resolution_time_hours) AS lowest_time,</w:t>
        <w:br/>
        <w:t xml:space="preserve">    MAX(resolution_time_hours) AS highest_resolution,</w:t>
        <w:br/>
        <w:t xml:space="preserve">    ROUND(AVG(csat_score), 2) AS avg_score</w:t>
        <w:br/>
        <w:t>FROM support_tickets;</w:t>
      </w:r>
    </w:p>
    <w:p>
      <w:pPr>
        <w:pStyle w:val="Heading3"/>
      </w:pPr>
      <w:r>
        <w:rPr>
          <w:color w:val="4E377D"/>
        </w:rPr>
        <w:t>Status counts</w:t>
      </w:r>
    </w:p>
    <w:p>
      <w:pPr>
        <w:spacing w:before="60" w:after="160"/>
        <w:ind w:left="360" w:right="360"/>
        <w:shd w:fill="F3F3F3"/>
      </w:pPr>
      <w:r>
        <w:rPr>
          <w:rFonts w:ascii="Consolas" w:hAnsi="Consolas"/>
          <w:color w:val="373737"/>
          <w:sz w:val="17"/>
        </w:rPr>
        <w:t>SELECT</w:t>
        <w:br/>
        <w:t xml:space="preserve">    status,</w:t>
        <w:br/>
        <w:t xml:space="preserve">    COUNT(*) AS total_tickets</w:t>
        <w:br/>
        <w:t>FROM support_tickets</w:t>
        <w:br/>
        <w:t>GROUP BY status;</w:t>
      </w:r>
    </w:p>
    <w:p>
      <w:pPr>
        <w:pStyle w:val="Heading3"/>
      </w:pPr>
      <w:r>
        <w:rPr>
          <w:color w:val="4E377D"/>
        </w:rPr>
        <w:t>Resolution by priority</w:t>
      </w:r>
    </w:p>
    <w:p>
      <w:pPr>
        <w:spacing w:before="60" w:after="160"/>
        <w:ind w:left="360" w:right="360"/>
        <w:shd w:fill="F3F3F3"/>
      </w:pPr>
      <w:r>
        <w:rPr>
          <w:rFonts w:ascii="Consolas" w:hAnsi="Consolas"/>
          <w:color w:val="373737"/>
          <w:sz w:val="17"/>
        </w:rPr>
        <w:t>SELECT</w:t>
        <w:br/>
        <w:t xml:space="preserve">    priority,</w:t>
        <w:br/>
        <w:t xml:space="preserve">    ROUND(AVG(resolution_time_hours), 2) AS avg_resolution_time</w:t>
        <w:br/>
        <w:t>FROM support_tickets</w:t>
        <w:br/>
        <w:t>GROUP BY priority;</w:t>
      </w:r>
    </w:p>
    <w:p>
      <w:pPr>
        <w:pStyle w:val="Heading3"/>
      </w:pPr>
      <w:r>
        <w:rPr>
          <w:color w:val="4E377D"/>
        </w:rPr>
        <w:t>Resolved percentage</w:t>
      </w:r>
    </w:p>
    <w:p>
      <w:pPr>
        <w:spacing w:before="60" w:after="160"/>
        <w:ind w:left="360" w:right="360"/>
        <w:shd w:fill="F3F3F3"/>
      </w:pPr>
      <w:r>
        <w:rPr>
          <w:rFonts w:ascii="Consolas" w:hAnsi="Consolas"/>
          <w:color w:val="373737"/>
          <w:sz w:val="17"/>
        </w:rPr>
        <w:t>SELECT</w:t>
        <w:br/>
        <w:t xml:space="preserve">    ROUND(</w:t>
        <w:br/>
        <w:t xml:space="preserve">        SUM(CASE WHEN status = "resolved" THEN 1 ELSE 0 END)</w:t>
        <w:br/>
        <w:t xml:space="preserve">        * 100 / COUNT(*), 2</w:t>
        <w:br/>
        <w:t xml:space="preserve">    ) AS resolved_percentage</w:t>
        <w:br/>
        <w:t>FROM support_tickets;</w:t>
      </w:r>
    </w:p>
    <w:p>
      <w:pPr>
        <w:pStyle w:val="Heading3"/>
      </w:pPr>
      <w:r>
        <w:rPr>
          <w:color w:val="4E377D"/>
        </w:rPr>
        <w:t>Monthly ticket volume</w:t>
      </w:r>
    </w:p>
    <w:p>
      <w:pPr>
        <w:spacing w:before="60" w:after="160"/>
        <w:ind w:left="360" w:right="360"/>
        <w:shd w:fill="F3F3F3"/>
      </w:pPr>
      <w:r>
        <w:rPr>
          <w:rFonts w:ascii="Consolas" w:hAnsi="Consolas"/>
          <w:color w:val="373737"/>
          <w:sz w:val="17"/>
        </w:rPr>
        <w:t>SELECT</w:t>
        <w:br/>
        <w:t xml:space="preserve">    MONTH(created_at) AS month_number,</w:t>
        <w:br/>
        <w:t xml:space="preserve">    MONTHNAME(created_at) AS month_name,</w:t>
        <w:br/>
        <w:t xml:space="preserve">    COUNT(*) AS total_tickets</w:t>
        <w:br/>
        <w:t>FROM support_tickets</w:t>
        <w:br/>
        <w:t>GROUP BY MONTH(created_at), MONTHNAME(created_at)</w:t>
        <w:br/>
        <w:t>ORDER BY month_number;</w:t>
      </w:r>
    </w:p>
    <w:p>
      <w:pPr>
        <w:pStyle w:val="Heading2"/>
      </w:pPr>
      <w:r>
        <w:rPr>
          <w:color w:val="4E377D"/>
        </w:rPr>
        <w:t>Portfolio note</w:t>
      </w:r>
    </w:p>
    <w:p>
      <w:pPr>
        <w:spacing w:after="140" w:line="269" w:lineRule="auto"/>
      </w:pPr>
      <w:r>
        <w:t>For GitHub, this report can sit alongside the raw/cleaned dataset, Python notebooks, SQL file and Power BI screenshots. For LinkedIn, the strongest story is the workflow: raw support data → Python cleaning and EDA → MySQL business analysis → Power BI dashboard → operational recommendations.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96969"/>
        <w:sz w:val="16"/>
      </w:rPr>
      <w:t>VERTEX SOFTWARE SUPPORT ANALYTICS  |  DATA ANALYST PORTFOLIO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