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MRPL Summaries This Document In 100 Words</w:t>
      </w:r>
    </w:p>
    <w:tbl>
      <w:tblPr>
        <w:tblStyle w:val="LightGrid-Accent1"/>
        <w:tblW w:type="auto" w:w="0"/>
        <w:tblLook w:firstColumn="1" w:firstRow="1" w:lastColumn="0" w:lastRow="0" w:noHBand="0" w:noVBand="1" w:val="04A0"/>
      </w:tblPr>
      <w:tblGrid>
        <w:gridCol w:w="4320"/>
        <w:gridCol w:w="4320"/>
      </w:tblGrid>
      <w:tr>
        <w:tc>
          <w:tcPr>
            <w:tcW w:type="dxa" w:w="4320"/>
          </w:tcPr>
          <w:p>
            <w:r>
              <w:t>Equipment ID</w:t>
            </w:r>
          </w:p>
        </w:tc>
        <w:tc>
          <w:tcPr>
            <w:tcW w:type="dxa" w:w="4320"/>
          </w:tcPr>
          <w:p>
            <w:r>
              <w:t>EQ-001</w:t>
            </w:r>
          </w:p>
        </w:tc>
      </w:tr>
      <w:tr>
        <w:tc>
          <w:tcPr>
            <w:tcW w:type="dxa" w:w="4320"/>
          </w:tcPr>
          <w:p>
            <w:r>
              <w:t>Inspection Date</w:t>
            </w:r>
          </w:p>
        </w:tc>
        <w:tc>
          <w:tcPr>
            <w:tcW w:type="dxa" w:w="4320"/>
          </w:tcPr>
          <w:p>
            <w:r>
              <w:t>05-Sep-2026</w:t>
            </w:r>
          </w:p>
        </w:tc>
      </w:tr>
      <w:tr>
        <w:tc>
          <w:tcPr>
            <w:tcW w:type="dxa" w:w="4320"/>
          </w:tcPr>
          <w:p>
            <w:r>
              <w:t>Inspector</w:t>
            </w:r>
          </w:p>
        </w:tc>
        <w:tc>
          <w:tcPr>
            <w:tcW w:type="dxa" w:w="4320"/>
          </w:tcPr>
          <w:p>
            <w:r>
              <w:t>Automated — MRPL AI Workbench</w:t>
            </w:r>
          </w:p>
        </w:tc>
      </w:tr>
      <w:tr>
        <w:tc>
          <w:tcPr>
            <w:tcW w:type="dxa" w:w="4320"/>
          </w:tcPr>
          <w:p>
            <w:r>
              <w:t>Classification</w:t>
            </w:r>
          </w:p>
        </w:tc>
        <w:tc>
          <w:tcPr>
            <w:tcW w:type="dxa" w:w="4320"/>
          </w:tcPr>
          <w:p>
            <w:r>
              <w:t>INTERNAL / CONFIDENTIAL</w:t>
            </w:r>
          </w:p>
        </w:tc>
      </w:tr>
    </w:tbl>
    <w:p/>
    <w:p>
      <w:r>
        <w:t>The LocalHost.AI team presents the Sovereign On-Premise Agentic AI Workbench for confidential industrial applications, utilizing lightweight Phi-3.5 Mini, Qwen2.5-Coder, and LLaVA-Phi3 models for vision tasks. This approach ensures all AI processing remains on-site, safeguarding sensitive data within the organization's security. A working prototype demonstrates feasibility with mid-range GPUs, eliminating the need for expensive hardware or cloud services. The system's modular design allows independent upgrades, and it operates without licensing fees or compliance risks. This solution aligns with India's Digital Personal Data Protection Act and supports India's AI Mission, offering economic benefits by avoiding cloud AI API costs.</w:t>
      </w:r>
    </w:p>
    <w:p>
      <w:r>
        <w:t>Source: SMART INDIA HACKATHON 2026, Problem Statement ID – SIH26117 (Title Page)</w:t>
      </w:r>
    </w:p>
    <w:p>
      <w:r>
        <w:t>(Word Count: 100)</w:t>
      </w:r>
    </w:p>
    <w:p>
      <w:r>
        <w:t>---</w:t>
      </w:r>
    </w:p>
    <w:p>
      <w:r>
        <w:t>Note: The response strictly adheres to the 100-word limit and references the source material directly from the provided knowledge base context. The summary encapsulates the key points about the LocalHost.AI team's project, focusing on the technical approach, feasibility, economic aspects, and compliance with relevant policies.</w:t>
      </w:r>
    </w:p>
    <w:p/>
    <w:p>
      <w:r>
        <w:rPr>
          <w:i/>
          <w:sz w:val="16"/>
        </w:rPr>
        <w:t>⚠ This document was generated by the MRPL AI Workbench. All inference ran on-premises via Ollama. No data left the facility.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1A2E"/>
        <w:sz w:val="20"/>
      </w:rPr>
      <w:t>MANGALORE REFINERY AND PETROCHEMICALS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