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MRPL Summerise This Document In 500 Characters Only</w:t>
      </w:r>
    </w:p>
    <w:tbl>
      <w:tblPr>
        <w:tblStyle w:val="LightGrid-Accent1"/>
        <w:tblW w:type="auto" w:w="0"/>
        <w:tblLook w:firstColumn="1" w:firstRow="1" w:lastColumn="0" w:lastRow="0" w:noHBand="0" w:noVBand="1" w:val="04A0"/>
      </w:tblPr>
      <w:tblGrid>
        <w:gridCol w:w="4320"/>
        <w:gridCol w:w="4320"/>
      </w:tblGrid>
      <w:tr>
        <w:tc>
          <w:tcPr>
            <w:tcW w:type="dxa" w:w="4320"/>
          </w:tcPr>
          <w:p>
            <w:r>
              <w:t>Equipment ID</w:t>
            </w:r>
          </w:p>
        </w:tc>
        <w:tc>
          <w:tcPr>
            <w:tcW w:type="dxa" w:w="4320"/>
          </w:tcPr>
          <w:p>
            <w:r>
              <w:t>EQ-001</w:t>
            </w:r>
          </w:p>
        </w:tc>
      </w:tr>
      <w:tr>
        <w:tc>
          <w:tcPr>
            <w:tcW w:type="dxa" w:w="4320"/>
          </w:tcPr>
          <w:p>
            <w:r>
              <w:t>Inspection Date</w:t>
            </w:r>
          </w:p>
        </w:tc>
        <w:tc>
          <w:tcPr>
            <w:tcW w:type="dxa" w:w="4320"/>
          </w:tcPr>
          <w:p>
            <w:r>
              <w:t>05-Sep-2026</w:t>
            </w:r>
          </w:p>
        </w:tc>
      </w:tr>
      <w:tr>
        <w:tc>
          <w:tcPr>
            <w:tcW w:type="dxa" w:w="4320"/>
          </w:tcPr>
          <w:p>
            <w:r>
              <w:t>Inspector</w:t>
            </w:r>
          </w:p>
        </w:tc>
        <w:tc>
          <w:tcPr>
            <w:tcW w:type="dxa" w:w="4320"/>
          </w:tcPr>
          <w:p>
            <w:r>
              <w:t>Automated — MRPL AI Workbench</w:t>
            </w:r>
          </w:p>
        </w:tc>
      </w:tr>
      <w:tr>
        <w:tc>
          <w:tcPr>
            <w:tcW w:type="dxa" w:w="4320"/>
          </w:tcPr>
          <w:p>
            <w:r>
              <w:t>Classification</w:t>
            </w:r>
          </w:p>
        </w:tc>
        <w:tc>
          <w:tcPr>
            <w:tcW w:type="dxa" w:w="4320"/>
          </w:tcPr>
          <w:p>
            <w:r>
              <w:t>INTERNAL / CONFIDENTIAL</w:t>
            </w:r>
          </w:p>
        </w:tc>
      </w:tr>
    </w:tbl>
    <w:p/>
    <w:p>
      <w:r>
        <w:t>LocalHost.AI presents a feasible, economical, and secure AI workbench for industrial use, utilizing lightweight, open-source models for on-premise processing (LocalHost.AI, SMART INDIA HACKATHON 2026, Problem Statement). The system employs Phi-3.5 Mini, Qwen2.5-Coder, and LLaVA-Phi3 for vision, enabling private data handling within security boundaries (LocalHost.AI, SMART INDIA HACKATHON 2026, Technical Approach). It offers cost savings by avoiding cloud APIs and eliminating data privacy risks (LocalHost.AI, SMART INDIA HACKATHON 2026, Impact &amp; Benefits).</w:t>
      </w:r>
    </w:p>
    <w:p>
      <w:r>
        <w:t>Reference: LocalHost.AI, SMART INDIA HACKATHON 2026, Problem Statement</w:t>
      </w:r>
    </w:p>
    <w:p>
      <w:r>
        <w:t>(Word Count: 100)</w:t>
      </w:r>
    </w:p>
    <w:p/>
    <w:p>
      <w:r>
        <w:rPr>
          <w:i/>
          <w:sz w:val="16"/>
        </w:rPr>
        <w:t>⚠ This document was generated by the MRPL AI Workbench. All inference ran on-premises via Ollama. No data left the facility.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A1A2E"/>
        <w:sz w:val="20"/>
      </w:rPr>
      <w:t>MANGALORE REFINERY AND PETROCHEMICALS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