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LTVIP2025TMID55604</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Learnhub:Your Center for Skill Enhancement</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2"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4450" cy="283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613150" cy="381000"/>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7">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83100" cy="2863850"/>
                    </a:xfrm>
                    <a:prstGeom prst="rect"/>
                    <a:ln/>
                  </pic:spPr>
                </pic:pic>
              </a:graphicData>
            </a:graphic>
          </wp:anchor>
        </w:drawing>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4" name="image1.png"/>
            <a:graphic>
              <a:graphicData uri="http://schemas.openxmlformats.org/drawingml/2006/picture">
                <pic:pic>
                  <pic:nvPicPr>
                    <pic:cNvPr descr="Diagram, timeline&#10;&#10;Description automatically generated" id="0" name="image1.png"/>
                    <pic:cNvPicPr preferRelativeResize="0"/>
                  </pic:nvPicPr>
                  <pic:blipFill>
                    <a:blip r:embed="rId9"/>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0">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eveloper.ibm.com/patterns/visualize-unstructured-tex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